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641" w:rsidRDefault="00822A05">
      <w:pPr>
        <w:tabs>
          <w:tab w:val="left" w:pos="720"/>
        </w:tabs>
        <w:autoSpaceDE w:val="0"/>
        <w:autoSpaceDN w:val="0"/>
        <w:adjustRightInd w:val="0"/>
        <w:jc w:val="both"/>
        <w:rPr>
          <w:rFonts w:cs="Arial"/>
          <w:b/>
        </w:rPr>
      </w:pPr>
      <w:r w:rsidRPr="004B24DD">
        <w:rPr>
          <w:rFonts w:ascii="Times New Roman" w:hAnsi="Times New Roman"/>
          <w:noProof/>
          <w:color w:val="000000"/>
          <w:sz w:val="20"/>
          <w:szCs w:val="20"/>
        </w:rPr>
        <w:drawing>
          <wp:inline distT="0" distB="0" distL="0" distR="0" wp14:anchorId="3C4839D2" wp14:editId="39DEF991">
            <wp:extent cx="2162175" cy="695325"/>
            <wp:effectExtent l="0" t="0" r="9525" b="9525"/>
            <wp:docPr id="1" name="Picture 1" descr="C:\Inettemp\s.wilson\Cache\Content.Outlook\W6ZTMV2I\UC Corporate 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ettemp\s.wilson\Cache\Content.Outlook\W6ZTMV2I\UC Corporate Logo_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695325"/>
                    </a:xfrm>
                    <a:prstGeom prst="rect">
                      <a:avLst/>
                    </a:prstGeom>
                    <a:noFill/>
                    <a:ln>
                      <a:noFill/>
                    </a:ln>
                  </pic:spPr>
                </pic:pic>
              </a:graphicData>
            </a:graphic>
          </wp:inline>
        </w:drawing>
      </w: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Pr="00526641" w:rsidRDefault="00526641">
      <w:pPr>
        <w:tabs>
          <w:tab w:val="left" w:pos="720"/>
        </w:tabs>
        <w:autoSpaceDE w:val="0"/>
        <w:autoSpaceDN w:val="0"/>
        <w:adjustRightInd w:val="0"/>
        <w:jc w:val="both"/>
        <w:rPr>
          <w:rFonts w:cs="Arial"/>
          <w:b/>
          <w:sz w:val="28"/>
          <w:szCs w:val="28"/>
        </w:rPr>
      </w:pPr>
      <w:r>
        <w:rPr>
          <w:rFonts w:cs="Arial"/>
          <w:b/>
          <w:sz w:val="28"/>
          <w:szCs w:val="28"/>
        </w:rPr>
        <w:t xml:space="preserve"> </w:t>
      </w:r>
    </w:p>
    <w:p w:rsidR="00526641" w:rsidRPr="00526641" w:rsidRDefault="00526641">
      <w:pPr>
        <w:tabs>
          <w:tab w:val="left" w:pos="720"/>
        </w:tabs>
        <w:autoSpaceDE w:val="0"/>
        <w:autoSpaceDN w:val="0"/>
        <w:adjustRightInd w:val="0"/>
        <w:jc w:val="both"/>
        <w:rPr>
          <w:rFonts w:cs="Arial"/>
          <w:b/>
          <w:sz w:val="28"/>
          <w:szCs w:val="28"/>
        </w:rPr>
      </w:pPr>
    </w:p>
    <w:p w:rsidR="00526641" w:rsidRDefault="00526641">
      <w:pPr>
        <w:tabs>
          <w:tab w:val="left" w:pos="720"/>
        </w:tabs>
        <w:autoSpaceDE w:val="0"/>
        <w:autoSpaceDN w:val="0"/>
        <w:adjustRightInd w:val="0"/>
        <w:jc w:val="both"/>
        <w:rPr>
          <w:rFonts w:cs="Arial"/>
          <w:b/>
          <w:sz w:val="28"/>
          <w:szCs w:val="28"/>
        </w:rPr>
      </w:pPr>
    </w:p>
    <w:p w:rsidR="00526641" w:rsidRPr="00526641" w:rsidRDefault="00526641">
      <w:pPr>
        <w:tabs>
          <w:tab w:val="left" w:pos="720"/>
        </w:tabs>
        <w:autoSpaceDE w:val="0"/>
        <w:autoSpaceDN w:val="0"/>
        <w:adjustRightInd w:val="0"/>
        <w:jc w:val="both"/>
        <w:rPr>
          <w:rFonts w:cs="Arial"/>
          <w:b/>
          <w:sz w:val="28"/>
          <w:szCs w:val="28"/>
        </w:rPr>
      </w:pPr>
    </w:p>
    <w:p w:rsidR="00526641" w:rsidRPr="00526641" w:rsidRDefault="00526641">
      <w:pPr>
        <w:tabs>
          <w:tab w:val="left" w:pos="720"/>
        </w:tabs>
        <w:autoSpaceDE w:val="0"/>
        <w:autoSpaceDN w:val="0"/>
        <w:adjustRightInd w:val="0"/>
        <w:jc w:val="both"/>
        <w:rPr>
          <w:rFonts w:cs="Arial"/>
          <w:b/>
          <w:sz w:val="28"/>
          <w:szCs w:val="28"/>
        </w:rPr>
      </w:pPr>
    </w:p>
    <w:p w:rsidR="009E1645" w:rsidRDefault="00A53D95">
      <w:pPr>
        <w:tabs>
          <w:tab w:val="left" w:pos="720"/>
        </w:tabs>
        <w:autoSpaceDE w:val="0"/>
        <w:autoSpaceDN w:val="0"/>
        <w:adjustRightInd w:val="0"/>
        <w:jc w:val="both"/>
        <w:rPr>
          <w:rFonts w:cs="Arial"/>
          <w:b/>
          <w:sz w:val="28"/>
          <w:szCs w:val="28"/>
        </w:rPr>
      </w:pPr>
      <w:smartTag w:uri="urn:schemas-microsoft-com:office:smarttags" w:element="place">
        <w:smartTag w:uri="urn:schemas-microsoft-com:office:smarttags" w:element="PlaceName">
          <w:r>
            <w:rPr>
              <w:rFonts w:cs="Arial"/>
              <w:b/>
              <w:sz w:val="28"/>
              <w:szCs w:val="28"/>
            </w:rPr>
            <w:t>Leeds</w:t>
          </w:r>
        </w:smartTag>
        <w:r>
          <w:rPr>
            <w:rFonts w:cs="Arial"/>
            <w:b/>
            <w:sz w:val="28"/>
            <w:szCs w:val="28"/>
          </w:rPr>
          <w:t xml:space="preserve"> </w:t>
        </w:r>
        <w:smartTag w:uri="urn:schemas-microsoft-com:office:smarttags" w:element="PlaceType">
          <w:r>
            <w:rPr>
              <w:rFonts w:cs="Arial"/>
              <w:b/>
              <w:sz w:val="28"/>
              <w:szCs w:val="28"/>
            </w:rPr>
            <w:t>City</w:t>
          </w:r>
        </w:smartTag>
        <w:r>
          <w:rPr>
            <w:rFonts w:cs="Arial"/>
            <w:b/>
            <w:sz w:val="28"/>
            <w:szCs w:val="28"/>
          </w:rPr>
          <w:t xml:space="preserve"> </w:t>
        </w:r>
        <w:smartTag w:uri="urn:schemas-microsoft-com:office:smarttags" w:element="PlaceType">
          <w:r>
            <w:rPr>
              <w:rFonts w:cs="Arial"/>
              <w:b/>
              <w:sz w:val="28"/>
              <w:szCs w:val="28"/>
            </w:rPr>
            <w:t>College</w:t>
          </w:r>
        </w:smartTag>
      </w:smartTag>
    </w:p>
    <w:p w:rsidR="00526641" w:rsidRDefault="00526641">
      <w:pPr>
        <w:tabs>
          <w:tab w:val="left" w:pos="720"/>
        </w:tabs>
        <w:autoSpaceDE w:val="0"/>
        <w:autoSpaceDN w:val="0"/>
        <w:adjustRightInd w:val="0"/>
        <w:jc w:val="both"/>
        <w:rPr>
          <w:rFonts w:cs="Arial"/>
          <w:b/>
          <w:sz w:val="28"/>
          <w:szCs w:val="28"/>
        </w:rPr>
      </w:pPr>
    </w:p>
    <w:p w:rsidR="00526641" w:rsidRPr="00526641" w:rsidRDefault="00526641">
      <w:pPr>
        <w:tabs>
          <w:tab w:val="left" w:pos="720"/>
        </w:tabs>
        <w:autoSpaceDE w:val="0"/>
        <w:autoSpaceDN w:val="0"/>
        <w:adjustRightInd w:val="0"/>
        <w:jc w:val="both"/>
        <w:rPr>
          <w:rFonts w:cs="Arial"/>
          <w:b/>
          <w:sz w:val="28"/>
          <w:szCs w:val="28"/>
        </w:rPr>
      </w:pPr>
    </w:p>
    <w:p w:rsidR="00526641" w:rsidRDefault="00526641">
      <w:pPr>
        <w:tabs>
          <w:tab w:val="left" w:pos="720"/>
        </w:tabs>
        <w:autoSpaceDE w:val="0"/>
        <w:autoSpaceDN w:val="0"/>
        <w:adjustRightInd w:val="0"/>
        <w:jc w:val="both"/>
        <w:rPr>
          <w:rFonts w:cs="Arial"/>
          <w:b/>
          <w:sz w:val="28"/>
          <w:szCs w:val="28"/>
        </w:rPr>
      </w:pPr>
    </w:p>
    <w:p w:rsidR="00D64F2A" w:rsidRDefault="009E1645" w:rsidP="00D64F2A">
      <w:pPr>
        <w:tabs>
          <w:tab w:val="left" w:pos="720"/>
        </w:tabs>
        <w:autoSpaceDE w:val="0"/>
        <w:autoSpaceDN w:val="0"/>
        <w:adjustRightInd w:val="0"/>
        <w:rPr>
          <w:rFonts w:cs="Arial"/>
          <w:b/>
          <w:sz w:val="28"/>
          <w:szCs w:val="28"/>
        </w:rPr>
      </w:pPr>
      <w:r w:rsidRPr="00526641">
        <w:rPr>
          <w:rFonts w:cs="Arial"/>
          <w:b/>
          <w:sz w:val="28"/>
          <w:szCs w:val="28"/>
        </w:rPr>
        <w:t xml:space="preserve">Higher Education </w:t>
      </w:r>
    </w:p>
    <w:p w:rsidR="00A53D95" w:rsidRDefault="00A53D95" w:rsidP="00D64F2A">
      <w:pPr>
        <w:tabs>
          <w:tab w:val="left" w:pos="720"/>
        </w:tabs>
        <w:autoSpaceDE w:val="0"/>
        <w:autoSpaceDN w:val="0"/>
        <w:adjustRightInd w:val="0"/>
        <w:rPr>
          <w:rFonts w:cs="Arial"/>
          <w:b/>
          <w:sz w:val="28"/>
          <w:szCs w:val="28"/>
        </w:rPr>
      </w:pPr>
    </w:p>
    <w:p w:rsidR="009E1645" w:rsidRPr="00526641" w:rsidRDefault="001C4800" w:rsidP="00D64F2A">
      <w:pPr>
        <w:tabs>
          <w:tab w:val="left" w:pos="720"/>
        </w:tabs>
        <w:autoSpaceDE w:val="0"/>
        <w:autoSpaceDN w:val="0"/>
        <w:adjustRightInd w:val="0"/>
        <w:rPr>
          <w:rFonts w:cs="Arial"/>
          <w:b/>
          <w:sz w:val="28"/>
          <w:szCs w:val="28"/>
        </w:rPr>
      </w:pPr>
      <w:r>
        <w:rPr>
          <w:rFonts w:cs="Arial"/>
          <w:b/>
          <w:sz w:val="28"/>
          <w:szCs w:val="28"/>
        </w:rPr>
        <w:t>Student Engagement</w:t>
      </w:r>
      <w:r w:rsidR="00D64F2A">
        <w:rPr>
          <w:rFonts w:cs="Arial"/>
          <w:b/>
          <w:sz w:val="28"/>
          <w:szCs w:val="28"/>
        </w:rPr>
        <w:t xml:space="preserve"> </w:t>
      </w:r>
      <w:r w:rsidR="009E1645" w:rsidRPr="00526641">
        <w:rPr>
          <w:rFonts w:cs="Arial"/>
          <w:b/>
          <w:sz w:val="28"/>
          <w:szCs w:val="28"/>
        </w:rPr>
        <w:t>Policy</w:t>
      </w: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701868" w:rsidRDefault="00701868" w:rsidP="00526641">
      <w:pPr>
        <w:tabs>
          <w:tab w:val="left" w:pos="720"/>
        </w:tabs>
        <w:spacing w:line="360" w:lineRule="auto"/>
        <w:jc w:val="both"/>
        <w:rPr>
          <w:rFonts w:cs="Arial"/>
          <w:b/>
          <w:sz w:val="22"/>
          <w:szCs w:val="22"/>
        </w:rPr>
      </w:pPr>
    </w:p>
    <w:p w:rsidR="00430E63" w:rsidRDefault="00430E63" w:rsidP="00526641">
      <w:pPr>
        <w:tabs>
          <w:tab w:val="left" w:pos="720"/>
        </w:tabs>
        <w:spacing w:line="360" w:lineRule="auto"/>
        <w:jc w:val="both"/>
        <w:rPr>
          <w:rFonts w:cs="Arial"/>
          <w:sz w:val="22"/>
          <w:szCs w:val="22"/>
        </w:rPr>
      </w:pPr>
      <w:r w:rsidRPr="00B02807">
        <w:rPr>
          <w:rFonts w:cs="Arial"/>
          <w:b/>
          <w:sz w:val="22"/>
          <w:szCs w:val="22"/>
        </w:rPr>
        <w:t xml:space="preserve">Owner: </w:t>
      </w:r>
      <w:r w:rsidR="00152F05">
        <w:rPr>
          <w:rFonts w:cs="Arial"/>
          <w:sz w:val="22"/>
          <w:szCs w:val="22"/>
        </w:rPr>
        <w:t>HEDO</w:t>
      </w:r>
    </w:p>
    <w:p w:rsidR="00822A05" w:rsidRPr="00B02807" w:rsidRDefault="00822A05" w:rsidP="00526641">
      <w:pPr>
        <w:tabs>
          <w:tab w:val="left" w:pos="720"/>
        </w:tabs>
        <w:spacing w:line="360" w:lineRule="auto"/>
        <w:jc w:val="both"/>
        <w:rPr>
          <w:rFonts w:cs="Arial"/>
          <w:b/>
          <w:sz w:val="22"/>
          <w:szCs w:val="22"/>
        </w:rPr>
      </w:pPr>
      <w:r w:rsidRPr="00822A05">
        <w:rPr>
          <w:rFonts w:cs="Arial"/>
          <w:b/>
          <w:sz w:val="22"/>
          <w:szCs w:val="22"/>
        </w:rPr>
        <w:t>Introduced:</w:t>
      </w:r>
      <w:r>
        <w:rPr>
          <w:rFonts w:cs="Arial"/>
          <w:sz w:val="22"/>
          <w:szCs w:val="22"/>
        </w:rPr>
        <w:t xml:space="preserve"> June 2015</w:t>
      </w:r>
    </w:p>
    <w:p w:rsidR="00430E63" w:rsidRDefault="00430E63" w:rsidP="00526641">
      <w:pPr>
        <w:tabs>
          <w:tab w:val="left" w:pos="720"/>
        </w:tabs>
        <w:spacing w:line="360" w:lineRule="auto"/>
        <w:jc w:val="both"/>
        <w:rPr>
          <w:rFonts w:cs="Arial"/>
          <w:b/>
          <w:sz w:val="22"/>
          <w:szCs w:val="22"/>
        </w:rPr>
      </w:pPr>
      <w:r w:rsidRPr="00B02807">
        <w:rPr>
          <w:rFonts w:cs="Arial"/>
          <w:b/>
          <w:sz w:val="22"/>
          <w:szCs w:val="22"/>
        </w:rPr>
        <w:t xml:space="preserve">Last Review: </w:t>
      </w:r>
      <w:r w:rsidR="00822A05">
        <w:rPr>
          <w:rFonts w:cs="Arial"/>
          <w:sz w:val="22"/>
          <w:szCs w:val="22"/>
        </w:rPr>
        <w:t>September 2019</w:t>
      </w:r>
    </w:p>
    <w:p w:rsidR="00430E63" w:rsidRPr="00B02807" w:rsidRDefault="00430E63" w:rsidP="00526641">
      <w:pPr>
        <w:tabs>
          <w:tab w:val="left" w:pos="720"/>
        </w:tabs>
        <w:spacing w:line="360" w:lineRule="auto"/>
        <w:jc w:val="both"/>
        <w:rPr>
          <w:rFonts w:cs="Arial"/>
          <w:b/>
          <w:sz w:val="22"/>
          <w:szCs w:val="22"/>
        </w:rPr>
      </w:pPr>
      <w:r w:rsidRPr="00B02807">
        <w:rPr>
          <w:rFonts w:cs="Arial"/>
          <w:b/>
          <w:sz w:val="22"/>
          <w:szCs w:val="22"/>
        </w:rPr>
        <w:t xml:space="preserve">Next Review: </w:t>
      </w:r>
      <w:r w:rsidR="00822A05">
        <w:rPr>
          <w:rFonts w:cs="Arial"/>
          <w:sz w:val="22"/>
          <w:szCs w:val="22"/>
        </w:rPr>
        <w:t>September 2021</w:t>
      </w:r>
    </w:p>
    <w:p w:rsidR="0035237F" w:rsidRPr="00A53D95" w:rsidRDefault="00430E63" w:rsidP="00ED69FB">
      <w:pPr>
        <w:tabs>
          <w:tab w:val="left" w:pos="720"/>
        </w:tabs>
        <w:spacing w:line="360" w:lineRule="auto"/>
        <w:rPr>
          <w:rFonts w:cs="Arial"/>
          <w:b/>
          <w:color w:val="FF0000"/>
          <w:sz w:val="22"/>
          <w:szCs w:val="22"/>
        </w:rPr>
      </w:pPr>
      <w:r w:rsidRPr="00B02807">
        <w:rPr>
          <w:rFonts w:cs="Arial"/>
          <w:b/>
          <w:sz w:val="22"/>
          <w:szCs w:val="22"/>
        </w:rPr>
        <w:t xml:space="preserve">Endorsed by: </w:t>
      </w:r>
      <w:r w:rsidR="00370E7D" w:rsidRPr="009B24C4">
        <w:rPr>
          <w:rFonts w:cs="Arial"/>
          <w:sz w:val="22"/>
          <w:szCs w:val="22"/>
        </w:rPr>
        <w:t>HE Committee and HE Academic Board</w:t>
      </w:r>
      <w:r w:rsidR="00370E7D" w:rsidRPr="00A53D95">
        <w:rPr>
          <w:rFonts w:cs="Arial"/>
          <w:b/>
          <w:color w:val="FF0000"/>
          <w:sz w:val="22"/>
          <w:szCs w:val="22"/>
        </w:rPr>
        <w:t xml:space="preserve">    </w:t>
      </w:r>
    </w:p>
    <w:p w:rsidR="009E1645" w:rsidRPr="00526641" w:rsidRDefault="00D748D5" w:rsidP="00D748D5">
      <w:pPr>
        <w:tabs>
          <w:tab w:val="left" w:pos="720"/>
        </w:tabs>
        <w:spacing w:line="360" w:lineRule="auto"/>
        <w:rPr>
          <w:rFonts w:cs="Arial"/>
          <w:b/>
          <w:sz w:val="22"/>
          <w:szCs w:val="22"/>
        </w:rPr>
      </w:pPr>
      <w:r>
        <w:rPr>
          <w:rFonts w:cs="Arial"/>
          <w:b/>
          <w:sz w:val="22"/>
          <w:szCs w:val="22"/>
        </w:rPr>
        <w:lastRenderedPageBreak/>
        <w:t>S</w:t>
      </w:r>
      <w:r w:rsidR="009E1645" w:rsidRPr="00526641">
        <w:rPr>
          <w:rFonts w:cs="Arial"/>
          <w:b/>
          <w:sz w:val="22"/>
          <w:szCs w:val="22"/>
        </w:rPr>
        <w:t>cope and Purpose of Policy</w:t>
      </w:r>
    </w:p>
    <w:p w:rsidR="009E1645" w:rsidRPr="00526641" w:rsidRDefault="009E1645">
      <w:pPr>
        <w:pStyle w:val="BodyTextIndent2"/>
        <w:ind w:left="0"/>
        <w:rPr>
          <w:sz w:val="22"/>
          <w:szCs w:val="22"/>
        </w:rPr>
      </w:pPr>
      <w:r w:rsidRPr="00526641">
        <w:rPr>
          <w:sz w:val="22"/>
          <w:szCs w:val="22"/>
        </w:rPr>
        <w:t xml:space="preserve">This policy applies to </w:t>
      </w:r>
      <w:r w:rsidR="001C4800">
        <w:rPr>
          <w:sz w:val="22"/>
          <w:szCs w:val="22"/>
        </w:rPr>
        <w:t xml:space="preserve">the commitment of </w:t>
      </w:r>
      <w:r w:rsidR="00266369">
        <w:rPr>
          <w:sz w:val="22"/>
          <w:szCs w:val="22"/>
        </w:rPr>
        <w:t>Leeds City College Higher E</w:t>
      </w:r>
      <w:r w:rsidR="00876783">
        <w:rPr>
          <w:sz w:val="22"/>
          <w:szCs w:val="22"/>
        </w:rPr>
        <w:t xml:space="preserve">ducation </w:t>
      </w:r>
      <w:r w:rsidR="001C4800">
        <w:rPr>
          <w:sz w:val="22"/>
          <w:szCs w:val="22"/>
        </w:rPr>
        <w:t xml:space="preserve">and the Students’ Union to work together in the management of the quality enhancement and assurance of the </w:t>
      </w:r>
      <w:r w:rsidR="000C228B">
        <w:rPr>
          <w:sz w:val="22"/>
          <w:szCs w:val="22"/>
        </w:rPr>
        <w:t xml:space="preserve">Higher Education </w:t>
      </w:r>
      <w:r w:rsidR="001C4800">
        <w:rPr>
          <w:sz w:val="22"/>
          <w:szCs w:val="22"/>
        </w:rPr>
        <w:t>provision offered by Leeds City College</w:t>
      </w:r>
      <w:r w:rsidRPr="00526641">
        <w:rPr>
          <w:sz w:val="22"/>
          <w:szCs w:val="22"/>
        </w:rPr>
        <w:t>.</w:t>
      </w:r>
      <w:r w:rsidR="001C4800">
        <w:rPr>
          <w:sz w:val="22"/>
          <w:szCs w:val="22"/>
        </w:rPr>
        <w:t xml:space="preserve"> This includes a coherent and systematic approach to student representation at all levels of within the College.</w:t>
      </w:r>
      <w:r w:rsidRPr="00526641">
        <w:rPr>
          <w:sz w:val="22"/>
          <w:szCs w:val="22"/>
        </w:rPr>
        <w:t xml:space="preserve">  </w:t>
      </w:r>
    </w:p>
    <w:p w:rsidR="009E1645" w:rsidRPr="005661EC" w:rsidRDefault="009E1645">
      <w:pPr>
        <w:pStyle w:val="BodyTextIndent"/>
        <w:ind w:left="0"/>
        <w:rPr>
          <w:sz w:val="22"/>
          <w:szCs w:val="22"/>
        </w:rPr>
      </w:pPr>
      <w:r w:rsidRPr="00526641">
        <w:rPr>
          <w:sz w:val="22"/>
          <w:szCs w:val="22"/>
        </w:rPr>
        <w:t>Its purp</w:t>
      </w:r>
      <w:r w:rsidR="006C0DF6">
        <w:rPr>
          <w:sz w:val="22"/>
          <w:szCs w:val="22"/>
        </w:rPr>
        <w:t xml:space="preserve">ose is to ensure that the HE </w:t>
      </w:r>
      <w:r w:rsidR="00237784">
        <w:rPr>
          <w:sz w:val="22"/>
          <w:szCs w:val="22"/>
        </w:rPr>
        <w:t>Student Engagement p</w:t>
      </w:r>
      <w:r w:rsidRPr="00526641">
        <w:rPr>
          <w:sz w:val="22"/>
          <w:szCs w:val="22"/>
        </w:rPr>
        <w:t xml:space="preserve">olicy and procedures are implemented consistently across the College and that </w:t>
      </w:r>
      <w:r w:rsidR="00237784">
        <w:rPr>
          <w:sz w:val="22"/>
          <w:szCs w:val="22"/>
        </w:rPr>
        <w:t>students are active partners in their learning</w:t>
      </w:r>
      <w:r w:rsidR="00090F7C">
        <w:rPr>
          <w:sz w:val="22"/>
          <w:szCs w:val="22"/>
        </w:rPr>
        <w:t xml:space="preserve"> and in defining the academic and strategic direction of the College</w:t>
      </w:r>
      <w:r w:rsidR="006C0DF6">
        <w:rPr>
          <w:sz w:val="22"/>
          <w:szCs w:val="22"/>
        </w:rPr>
        <w:t xml:space="preserve">. In addition, </w:t>
      </w:r>
      <w:r w:rsidR="006C0DF6" w:rsidRPr="00237784">
        <w:rPr>
          <w:sz w:val="22"/>
          <w:szCs w:val="22"/>
        </w:rPr>
        <w:t xml:space="preserve">the HE </w:t>
      </w:r>
      <w:r w:rsidR="00237784" w:rsidRPr="00237784">
        <w:rPr>
          <w:sz w:val="22"/>
          <w:szCs w:val="22"/>
        </w:rPr>
        <w:t>Student Engagement</w:t>
      </w:r>
      <w:r w:rsidR="00876783" w:rsidRPr="00237784">
        <w:rPr>
          <w:sz w:val="22"/>
          <w:szCs w:val="22"/>
        </w:rPr>
        <w:t xml:space="preserve"> policy</w:t>
      </w:r>
      <w:r w:rsidRPr="00237784">
        <w:rPr>
          <w:sz w:val="22"/>
          <w:szCs w:val="22"/>
        </w:rPr>
        <w:t xml:space="preserve"> and procedures are fully informed by the </w:t>
      </w:r>
      <w:r w:rsidR="00876783" w:rsidRPr="00237784">
        <w:rPr>
          <w:sz w:val="22"/>
          <w:szCs w:val="22"/>
        </w:rPr>
        <w:t>requirements of awarding bodies and</w:t>
      </w:r>
      <w:r w:rsidR="00A53D95" w:rsidRPr="00237784">
        <w:rPr>
          <w:sz w:val="22"/>
          <w:szCs w:val="22"/>
        </w:rPr>
        <w:t xml:space="preserve"> </w:t>
      </w:r>
      <w:r w:rsidR="00F87971" w:rsidRPr="00237784">
        <w:rPr>
          <w:sz w:val="22"/>
          <w:szCs w:val="22"/>
        </w:rPr>
        <w:t xml:space="preserve">the </w:t>
      </w:r>
      <w:r w:rsidR="00822A05">
        <w:rPr>
          <w:sz w:val="22"/>
          <w:szCs w:val="22"/>
        </w:rPr>
        <w:t xml:space="preserve">revised </w:t>
      </w:r>
      <w:r w:rsidRPr="00237784">
        <w:rPr>
          <w:sz w:val="22"/>
          <w:szCs w:val="22"/>
        </w:rPr>
        <w:t xml:space="preserve">QAA </w:t>
      </w:r>
      <w:r w:rsidR="00701868" w:rsidRPr="00237784">
        <w:rPr>
          <w:sz w:val="22"/>
          <w:szCs w:val="22"/>
        </w:rPr>
        <w:t>Quality Code</w:t>
      </w:r>
      <w:r w:rsidR="00822A05">
        <w:rPr>
          <w:sz w:val="22"/>
          <w:szCs w:val="22"/>
        </w:rPr>
        <w:t xml:space="preserve"> for Higher Education, in particular the Advice and Guidance relating to Student Engagement.</w:t>
      </w:r>
    </w:p>
    <w:p w:rsidR="00090F7C" w:rsidRDefault="00090F7C" w:rsidP="00090F7C">
      <w:pPr>
        <w:pStyle w:val="BodyTextIndent"/>
        <w:ind w:left="0"/>
        <w:rPr>
          <w:sz w:val="22"/>
          <w:szCs w:val="22"/>
        </w:rPr>
      </w:pPr>
      <w:r>
        <w:rPr>
          <w:sz w:val="22"/>
          <w:szCs w:val="22"/>
        </w:rPr>
        <w:t xml:space="preserve">The College </w:t>
      </w:r>
      <w:r w:rsidR="007118C5">
        <w:rPr>
          <w:sz w:val="22"/>
          <w:szCs w:val="22"/>
        </w:rPr>
        <w:t>encourages</w:t>
      </w:r>
      <w:r>
        <w:rPr>
          <w:sz w:val="22"/>
          <w:szCs w:val="22"/>
        </w:rPr>
        <w:t xml:space="preserve"> the views of students, individually and collectively, </w:t>
      </w:r>
      <w:r w:rsidR="007118C5">
        <w:rPr>
          <w:sz w:val="22"/>
          <w:szCs w:val="22"/>
        </w:rPr>
        <w:t>in</w:t>
      </w:r>
      <w:r>
        <w:rPr>
          <w:sz w:val="22"/>
          <w:szCs w:val="22"/>
        </w:rPr>
        <w:t xml:space="preserve"> inform</w:t>
      </w:r>
      <w:r w:rsidR="007118C5">
        <w:rPr>
          <w:sz w:val="22"/>
          <w:szCs w:val="22"/>
        </w:rPr>
        <w:t>ing</w:t>
      </w:r>
      <w:r>
        <w:rPr>
          <w:sz w:val="22"/>
          <w:szCs w:val="22"/>
        </w:rPr>
        <w:t xml:space="preserve"> quality systems with the purpose of improving the student educational experience both for current and future cohorts. The delivery and development of all aspects of the student educational experience can be positively influenced by student engagement. </w:t>
      </w:r>
    </w:p>
    <w:p w:rsidR="00266369" w:rsidRPr="00266369" w:rsidRDefault="00266369" w:rsidP="0034601D">
      <w:pPr>
        <w:rPr>
          <w:sz w:val="22"/>
          <w:szCs w:val="22"/>
        </w:rPr>
      </w:pPr>
    </w:p>
    <w:p w:rsidR="00266369" w:rsidRPr="00266369" w:rsidRDefault="00266369" w:rsidP="00266369">
      <w:pPr>
        <w:rPr>
          <w:sz w:val="22"/>
          <w:szCs w:val="22"/>
        </w:rPr>
      </w:pPr>
    </w:p>
    <w:p w:rsidR="009E1645" w:rsidRPr="006E729F" w:rsidRDefault="009E1645" w:rsidP="006E729F">
      <w:pPr>
        <w:jc w:val="both"/>
        <w:rPr>
          <w:rFonts w:cs="Arial"/>
          <w:b/>
          <w:sz w:val="22"/>
          <w:szCs w:val="22"/>
        </w:rPr>
      </w:pPr>
      <w:r w:rsidRPr="006E729F">
        <w:rPr>
          <w:rFonts w:cs="Arial"/>
          <w:b/>
          <w:sz w:val="22"/>
          <w:szCs w:val="22"/>
        </w:rPr>
        <w:t>Policy Statement</w:t>
      </w:r>
    </w:p>
    <w:p w:rsidR="009E1645" w:rsidRPr="005661EC" w:rsidRDefault="009E1645">
      <w:pPr>
        <w:pStyle w:val="BodyTextIndent3"/>
        <w:tabs>
          <w:tab w:val="clear" w:pos="360"/>
        </w:tabs>
        <w:ind w:left="0"/>
        <w:rPr>
          <w:sz w:val="22"/>
          <w:szCs w:val="22"/>
        </w:rPr>
      </w:pPr>
      <w:r w:rsidRPr="005661EC">
        <w:rPr>
          <w:sz w:val="22"/>
          <w:szCs w:val="22"/>
        </w:rPr>
        <w:t>For HE provision the College wi</w:t>
      </w:r>
      <w:r w:rsidR="006C0DF6" w:rsidRPr="005661EC">
        <w:rPr>
          <w:sz w:val="22"/>
          <w:szCs w:val="22"/>
        </w:rPr>
        <w:t xml:space="preserve">ll operate a system for </w:t>
      </w:r>
      <w:r w:rsidR="00266369">
        <w:rPr>
          <w:sz w:val="22"/>
          <w:szCs w:val="22"/>
        </w:rPr>
        <w:t xml:space="preserve">assuring the </w:t>
      </w:r>
      <w:r w:rsidR="004B1B2E">
        <w:rPr>
          <w:sz w:val="22"/>
          <w:szCs w:val="22"/>
        </w:rPr>
        <w:t>formal arrangement for student engagement and partnership, in the management of quality enhancement and assurance</w:t>
      </w:r>
      <w:r w:rsidRPr="005661EC">
        <w:rPr>
          <w:sz w:val="22"/>
          <w:szCs w:val="22"/>
        </w:rPr>
        <w:t>.</w:t>
      </w:r>
    </w:p>
    <w:p w:rsidR="00266369" w:rsidRDefault="00266369" w:rsidP="00266369">
      <w:pPr>
        <w:rPr>
          <w:sz w:val="22"/>
          <w:szCs w:val="22"/>
        </w:rPr>
      </w:pPr>
      <w:r>
        <w:rPr>
          <w:sz w:val="22"/>
          <w:szCs w:val="22"/>
        </w:rPr>
        <w:t>The College has a firm commitment to:</w:t>
      </w:r>
    </w:p>
    <w:p w:rsidR="00266369" w:rsidRDefault="00266369" w:rsidP="00266369">
      <w:pPr>
        <w:rPr>
          <w:sz w:val="22"/>
          <w:szCs w:val="22"/>
        </w:rPr>
      </w:pPr>
    </w:p>
    <w:p w:rsidR="004B1B2E" w:rsidRDefault="004B1B2E" w:rsidP="00266369">
      <w:pPr>
        <w:pStyle w:val="ListParagraph"/>
        <w:numPr>
          <w:ilvl w:val="0"/>
          <w:numId w:val="11"/>
        </w:numPr>
        <w:rPr>
          <w:sz w:val="22"/>
          <w:szCs w:val="22"/>
        </w:rPr>
      </w:pPr>
      <w:r>
        <w:rPr>
          <w:sz w:val="22"/>
          <w:szCs w:val="22"/>
        </w:rPr>
        <w:t>Ensuring that its processes for engaging with students allow sufficient opportunity for students to provide feedback;</w:t>
      </w:r>
    </w:p>
    <w:p w:rsidR="00B05F18" w:rsidRDefault="004B1B2E" w:rsidP="00B05F18">
      <w:pPr>
        <w:pStyle w:val="ListParagraph"/>
        <w:numPr>
          <w:ilvl w:val="0"/>
          <w:numId w:val="11"/>
        </w:numPr>
        <w:rPr>
          <w:sz w:val="22"/>
          <w:szCs w:val="22"/>
        </w:rPr>
      </w:pPr>
      <w:r>
        <w:rPr>
          <w:sz w:val="22"/>
          <w:szCs w:val="22"/>
        </w:rPr>
        <w:t>Providing mechanisms for the management of quality and standards through stu</w:t>
      </w:r>
      <w:r w:rsidR="00B05F18">
        <w:rPr>
          <w:sz w:val="22"/>
          <w:szCs w:val="22"/>
        </w:rPr>
        <w:t>dent engagement and partnership;</w:t>
      </w:r>
    </w:p>
    <w:p w:rsidR="003129CD" w:rsidRPr="00B05F18" w:rsidRDefault="00747301" w:rsidP="00B05F18">
      <w:pPr>
        <w:pStyle w:val="ListParagraph"/>
        <w:numPr>
          <w:ilvl w:val="0"/>
          <w:numId w:val="11"/>
        </w:numPr>
        <w:rPr>
          <w:sz w:val="22"/>
          <w:szCs w:val="22"/>
        </w:rPr>
        <w:sectPr w:rsidR="003129CD" w:rsidRPr="00B05F18">
          <w:footerReference w:type="default" r:id="rId8"/>
          <w:pgSz w:w="11906" w:h="16838"/>
          <w:pgMar w:top="1440" w:right="1800" w:bottom="1440" w:left="1800" w:header="708" w:footer="708" w:gutter="0"/>
          <w:cols w:space="708"/>
          <w:docGrid w:linePitch="360"/>
        </w:sectPr>
      </w:pPr>
      <w:r w:rsidRPr="00B05F18">
        <w:rPr>
          <w:sz w:val="22"/>
          <w:szCs w:val="22"/>
        </w:rPr>
        <w:t xml:space="preserve">Providing all students </w:t>
      </w:r>
      <w:r w:rsidR="00B05F18" w:rsidRPr="00B05F18">
        <w:rPr>
          <w:sz w:val="22"/>
          <w:szCs w:val="22"/>
        </w:rPr>
        <w:t xml:space="preserve">with the opportunity to </w:t>
      </w:r>
      <w:r w:rsidR="00B05F18">
        <w:rPr>
          <w:sz w:val="22"/>
          <w:szCs w:val="22"/>
        </w:rPr>
        <w:t>make their views on their educational experience known to the College, and that these opportunities are made known to students.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5543"/>
        <w:gridCol w:w="1961"/>
      </w:tblGrid>
      <w:tr w:rsidR="009E1645" w:rsidRPr="005661EC" w:rsidTr="006D5B58">
        <w:trPr>
          <w:tblHeader/>
        </w:trPr>
        <w:tc>
          <w:tcPr>
            <w:tcW w:w="1818" w:type="dxa"/>
          </w:tcPr>
          <w:p w:rsidR="009E1645" w:rsidRPr="005661EC" w:rsidRDefault="009E1645">
            <w:pPr>
              <w:pStyle w:val="BodyTextIndent2"/>
              <w:ind w:left="0"/>
              <w:rPr>
                <w:b/>
                <w:bCs/>
                <w:sz w:val="22"/>
                <w:szCs w:val="22"/>
              </w:rPr>
            </w:pPr>
            <w:r w:rsidRPr="005661EC">
              <w:rPr>
                <w:b/>
                <w:bCs/>
                <w:sz w:val="22"/>
                <w:szCs w:val="22"/>
              </w:rPr>
              <w:lastRenderedPageBreak/>
              <w:t>Policy</w:t>
            </w:r>
          </w:p>
        </w:tc>
        <w:tc>
          <w:tcPr>
            <w:tcW w:w="5543" w:type="dxa"/>
          </w:tcPr>
          <w:p w:rsidR="009E1645" w:rsidRPr="005661EC" w:rsidRDefault="0019061E" w:rsidP="00B05F18">
            <w:pPr>
              <w:pStyle w:val="BodyTextIndent2"/>
              <w:ind w:left="0"/>
              <w:rPr>
                <w:b/>
                <w:bCs/>
                <w:sz w:val="22"/>
                <w:szCs w:val="22"/>
              </w:rPr>
            </w:pPr>
            <w:r w:rsidRPr="005661EC">
              <w:rPr>
                <w:b/>
                <w:bCs/>
                <w:sz w:val="22"/>
                <w:szCs w:val="22"/>
              </w:rPr>
              <w:t xml:space="preserve">Higher Education </w:t>
            </w:r>
            <w:r w:rsidR="00B05F18">
              <w:rPr>
                <w:b/>
                <w:bCs/>
                <w:sz w:val="22"/>
                <w:szCs w:val="22"/>
              </w:rPr>
              <w:t>Student Engagement</w:t>
            </w:r>
            <w:r w:rsidR="00430E63" w:rsidRPr="005661EC">
              <w:rPr>
                <w:b/>
                <w:bCs/>
                <w:sz w:val="22"/>
                <w:szCs w:val="22"/>
              </w:rPr>
              <w:t xml:space="preserve"> Policy </w:t>
            </w:r>
          </w:p>
        </w:tc>
        <w:tc>
          <w:tcPr>
            <w:tcW w:w="1961" w:type="dxa"/>
          </w:tcPr>
          <w:p w:rsidR="009E1645" w:rsidRPr="005661EC" w:rsidRDefault="00F67CBE">
            <w:pPr>
              <w:pStyle w:val="BodyTextIndent2"/>
              <w:ind w:left="0"/>
              <w:rPr>
                <w:b/>
                <w:bCs/>
                <w:sz w:val="22"/>
                <w:szCs w:val="22"/>
              </w:rPr>
            </w:pPr>
            <w:r>
              <w:rPr>
                <w:b/>
                <w:bCs/>
                <w:sz w:val="22"/>
                <w:szCs w:val="22"/>
              </w:rPr>
              <w:t>Quality Code Ref</w:t>
            </w:r>
          </w:p>
        </w:tc>
      </w:tr>
      <w:tr w:rsidR="009E1645" w:rsidRPr="005661EC" w:rsidTr="006D5B58">
        <w:tc>
          <w:tcPr>
            <w:tcW w:w="1818" w:type="dxa"/>
          </w:tcPr>
          <w:p w:rsidR="009E1645" w:rsidRPr="005661EC" w:rsidRDefault="009E1645">
            <w:pPr>
              <w:pStyle w:val="BodyTextIndent2"/>
              <w:ind w:left="0"/>
              <w:rPr>
                <w:b/>
                <w:bCs/>
                <w:sz w:val="22"/>
                <w:szCs w:val="22"/>
              </w:rPr>
            </w:pPr>
            <w:r w:rsidRPr="005661EC">
              <w:rPr>
                <w:b/>
                <w:bCs/>
                <w:sz w:val="22"/>
                <w:szCs w:val="22"/>
              </w:rPr>
              <w:t>Principles</w:t>
            </w:r>
          </w:p>
        </w:tc>
        <w:tc>
          <w:tcPr>
            <w:tcW w:w="5543" w:type="dxa"/>
          </w:tcPr>
          <w:p w:rsidR="00175C66" w:rsidRDefault="00175C66" w:rsidP="00175C66">
            <w:pPr>
              <w:pStyle w:val="Default"/>
              <w:ind w:left="720"/>
              <w:rPr>
                <w:rFonts w:ascii="Arial" w:hAnsi="Arial" w:cs="Arial"/>
                <w:sz w:val="22"/>
                <w:szCs w:val="22"/>
              </w:rPr>
            </w:pPr>
          </w:p>
          <w:p w:rsidR="00863D79" w:rsidRDefault="009B24C4" w:rsidP="00470085">
            <w:pPr>
              <w:pStyle w:val="ListParagraph"/>
              <w:numPr>
                <w:ilvl w:val="0"/>
                <w:numId w:val="13"/>
              </w:numPr>
              <w:rPr>
                <w:sz w:val="22"/>
                <w:szCs w:val="22"/>
              </w:rPr>
            </w:pPr>
            <w:r>
              <w:rPr>
                <w:sz w:val="22"/>
                <w:szCs w:val="22"/>
              </w:rPr>
              <w:t xml:space="preserve">The College </w:t>
            </w:r>
            <w:r w:rsidR="00863D79">
              <w:rPr>
                <w:sz w:val="22"/>
                <w:szCs w:val="22"/>
              </w:rPr>
              <w:t xml:space="preserve">will ensure formal arrangement of student engagement and partnership in the management of quality enhancement and assurance, applying to all higher education students at the College. </w:t>
            </w:r>
          </w:p>
          <w:p w:rsidR="00863D79" w:rsidRDefault="00863D79" w:rsidP="00863D79">
            <w:pPr>
              <w:pStyle w:val="ListParagraph"/>
              <w:rPr>
                <w:sz w:val="22"/>
                <w:szCs w:val="22"/>
              </w:rPr>
            </w:pPr>
          </w:p>
          <w:p w:rsidR="00470085" w:rsidRDefault="00470085" w:rsidP="00470085">
            <w:pPr>
              <w:pStyle w:val="ListParagraph"/>
              <w:numPr>
                <w:ilvl w:val="0"/>
                <w:numId w:val="13"/>
              </w:numPr>
              <w:rPr>
                <w:sz w:val="22"/>
                <w:szCs w:val="22"/>
              </w:rPr>
            </w:pPr>
            <w:r>
              <w:rPr>
                <w:sz w:val="22"/>
                <w:szCs w:val="22"/>
              </w:rPr>
              <w:t>The College will ensure that its processes for engaging with students do not make disproportionate demands on the time of students and staff.</w:t>
            </w:r>
          </w:p>
          <w:p w:rsidR="00470085" w:rsidRPr="00470085" w:rsidRDefault="00470085" w:rsidP="00470085">
            <w:pPr>
              <w:pStyle w:val="ListParagraph"/>
              <w:rPr>
                <w:sz w:val="22"/>
                <w:szCs w:val="22"/>
              </w:rPr>
            </w:pPr>
          </w:p>
          <w:p w:rsidR="00B05F18" w:rsidRPr="00470085" w:rsidRDefault="00863D79" w:rsidP="00470085">
            <w:pPr>
              <w:pStyle w:val="ListParagraph"/>
              <w:numPr>
                <w:ilvl w:val="0"/>
                <w:numId w:val="13"/>
              </w:numPr>
              <w:rPr>
                <w:sz w:val="22"/>
                <w:szCs w:val="22"/>
              </w:rPr>
            </w:pPr>
            <w:r w:rsidRPr="00470085">
              <w:rPr>
                <w:sz w:val="22"/>
                <w:szCs w:val="22"/>
              </w:rPr>
              <w:t xml:space="preserve">The College applies </w:t>
            </w:r>
            <w:r w:rsidR="000C228B">
              <w:rPr>
                <w:sz w:val="22"/>
                <w:szCs w:val="22"/>
              </w:rPr>
              <w:t xml:space="preserve">the principles of </w:t>
            </w:r>
            <w:r w:rsidRPr="00470085">
              <w:rPr>
                <w:sz w:val="22"/>
                <w:szCs w:val="22"/>
              </w:rPr>
              <w:t xml:space="preserve">student engagement and partnership in the following </w:t>
            </w:r>
            <w:r w:rsidR="000C228B">
              <w:rPr>
                <w:sz w:val="22"/>
                <w:szCs w:val="22"/>
              </w:rPr>
              <w:t>quality assurance and enhancement mechanisms</w:t>
            </w:r>
            <w:r w:rsidR="00094909" w:rsidRPr="00470085">
              <w:rPr>
                <w:sz w:val="22"/>
                <w:szCs w:val="22"/>
              </w:rPr>
              <w:t>:</w:t>
            </w:r>
          </w:p>
          <w:p w:rsidR="00094909" w:rsidRDefault="00094909" w:rsidP="00470085">
            <w:pPr>
              <w:pStyle w:val="ListParagraph"/>
              <w:numPr>
                <w:ilvl w:val="1"/>
                <w:numId w:val="13"/>
              </w:numPr>
              <w:rPr>
                <w:sz w:val="22"/>
                <w:szCs w:val="22"/>
              </w:rPr>
            </w:pPr>
            <w:r>
              <w:rPr>
                <w:sz w:val="22"/>
                <w:szCs w:val="22"/>
              </w:rPr>
              <w:t>Enrolment and induction review and evaluation;</w:t>
            </w:r>
          </w:p>
          <w:p w:rsidR="00094909" w:rsidRDefault="00094909" w:rsidP="00470085">
            <w:pPr>
              <w:pStyle w:val="ListParagraph"/>
              <w:numPr>
                <w:ilvl w:val="1"/>
                <w:numId w:val="13"/>
              </w:numPr>
              <w:rPr>
                <w:sz w:val="22"/>
                <w:szCs w:val="22"/>
              </w:rPr>
            </w:pPr>
            <w:r>
              <w:rPr>
                <w:sz w:val="22"/>
                <w:szCs w:val="22"/>
              </w:rPr>
              <w:t>Programme evaluation and review;</w:t>
            </w:r>
          </w:p>
          <w:p w:rsidR="00B05F18" w:rsidRDefault="00863D79" w:rsidP="00470085">
            <w:pPr>
              <w:pStyle w:val="ListParagraph"/>
              <w:numPr>
                <w:ilvl w:val="1"/>
                <w:numId w:val="13"/>
              </w:numPr>
              <w:rPr>
                <w:sz w:val="22"/>
                <w:szCs w:val="22"/>
              </w:rPr>
            </w:pPr>
            <w:r>
              <w:rPr>
                <w:sz w:val="22"/>
                <w:szCs w:val="22"/>
              </w:rPr>
              <w:t>Student representation</w:t>
            </w:r>
            <w:r w:rsidR="00094909">
              <w:rPr>
                <w:sz w:val="22"/>
                <w:szCs w:val="22"/>
              </w:rPr>
              <w:t>;</w:t>
            </w:r>
          </w:p>
          <w:p w:rsidR="00863D79" w:rsidRDefault="00094909" w:rsidP="00470085">
            <w:pPr>
              <w:pStyle w:val="ListParagraph"/>
              <w:numPr>
                <w:ilvl w:val="1"/>
                <w:numId w:val="13"/>
              </w:numPr>
              <w:rPr>
                <w:sz w:val="22"/>
                <w:szCs w:val="22"/>
              </w:rPr>
            </w:pPr>
            <w:r>
              <w:rPr>
                <w:sz w:val="22"/>
                <w:szCs w:val="22"/>
              </w:rPr>
              <w:t>Programme and College staff-student committees;</w:t>
            </w:r>
          </w:p>
          <w:p w:rsidR="00094909" w:rsidRDefault="00094909" w:rsidP="00470085">
            <w:pPr>
              <w:pStyle w:val="ListParagraph"/>
              <w:numPr>
                <w:ilvl w:val="1"/>
                <w:numId w:val="13"/>
              </w:numPr>
              <w:rPr>
                <w:sz w:val="22"/>
                <w:szCs w:val="22"/>
              </w:rPr>
            </w:pPr>
            <w:r>
              <w:rPr>
                <w:sz w:val="22"/>
                <w:szCs w:val="22"/>
              </w:rPr>
              <w:t>Periodic review panels;</w:t>
            </w:r>
          </w:p>
          <w:p w:rsidR="00094909" w:rsidRDefault="00094909" w:rsidP="00470085">
            <w:pPr>
              <w:pStyle w:val="ListParagraph"/>
              <w:numPr>
                <w:ilvl w:val="1"/>
                <w:numId w:val="13"/>
              </w:numPr>
              <w:rPr>
                <w:sz w:val="22"/>
                <w:szCs w:val="22"/>
              </w:rPr>
            </w:pPr>
            <w:r>
              <w:rPr>
                <w:sz w:val="22"/>
                <w:szCs w:val="22"/>
              </w:rPr>
              <w:t>Annual programme monitoring;</w:t>
            </w:r>
          </w:p>
          <w:p w:rsidR="00094909" w:rsidRDefault="00094909" w:rsidP="00470085">
            <w:pPr>
              <w:pStyle w:val="ListParagraph"/>
              <w:numPr>
                <w:ilvl w:val="1"/>
                <w:numId w:val="13"/>
              </w:numPr>
              <w:rPr>
                <w:sz w:val="22"/>
                <w:szCs w:val="22"/>
              </w:rPr>
            </w:pPr>
            <w:r>
              <w:rPr>
                <w:sz w:val="22"/>
                <w:szCs w:val="22"/>
              </w:rPr>
              <w:t xml:space="preserve">Programme approval, amendment and withdrawal; </w:t>
            </w:r>
          </w:p>
          <w:p w:rsidR="00094909" w:rsidRDefault="00094909" w:rsidP="00470085">
            <w:pPr>
              <w:pStyle w:val="ListParagraph"/>
              <w:numPr>
                <w:ilvl w:val="1"/>
                <w:numId w:val="13"/>
              </w:numPr>
              <w:rPr>
                <w:sz w:val="22"/>
                <w:szCs w:val="22"/>
              </w:rPr>
            </w:pPr>
            <w:r>
              <w:rPr>
                <w:sz w:val="22"/>
                <w:szCs w:val="22"/>
              </w:rPr>
              <w:t xml:space="preserve">Other committees and working groups as school and College level with student involvement and/or representation. </w:t>
            </w:r>
          </w:p>
          <w:p w:rsidR="009B24C4" w:rsidRDefault="009B24C4" w:rsidP="009B24C4">
            <w:pPr>
              <w:pStyle w:val="ListParagraph"/>
              <w:ind w:left="1440"/>
              <w:rPr>
                <w:sz w:val="22"/>
                <w:szCs w:val="22"/>
              </w:rPr>
            </w:pPr>
          </w:p>
          <w:p w:rsidR="004B39B4" w:rsidRPr="002E16D4" w:rsidRDefault="00094909" w:rsidP="002E16D4">
            <w:pPr>
              <w:pStyle w:val="Default"/>
              <w:numPr>
                <w:ilvl w:val="0"/>
                <w:numId w:val="13"/>
              </w:numPr>
              <w:rPr>
                <w:sz w:val="22"/>
                <w:szCs w:val="22"/>
              </w:rPr>
            </w:pPr>
            <w:r w:rsidRPr="00555116">
              <w:rPr>
                <w:rFonts w:ascii="Arial" w:hAnsi="Arial" w:cs="Arial"/>
                <w:sz w:val="22"/>
                <w:szCs w:val="22"/>
              </w:rPr>
              <w:t>The College will provide</w:t>
            </w:r>
            <w:r w:rsidR="009B24C4" w:rsidRPr="00555116">
              <w:rPr>
                <w:rFonts w:ascii="Arial" w:hAnsi="Arial" w:cs="Arial"/>
                <w:sz w:val="22"/>
                <w:szCs w:val="22"/>
              </w:rPr>
              <w:t xml:space="preserve"> all students with the opportunity to make their views on their educational experience known to the </w:t>
            </w:r>
            <w:r w:rsidRPr="00555116">
              <w:rPr>
                <w:rFonts w:ascii="Arial" w:hAnsi="Arial" w:cs="Arial"/>
                <w:sz w:val="22"/>
                <w:szCs w:val="22"/>
              </w:rPr>
              <w:t>College.</w:t>
            </w:r>
            <w:r w:rsidR="00555116" w:rsidRPr="00555116">
              <w:rPr>
                <w:rFonts w:ascii="Arial" w:hAnsi="Arial" w:cs="Arial"/>
                <w:sz w:val="22"/>
                <w:szCs w:val="22"/>
              </w:rPr>
              <w:t xml:space="preserve"> These will be made clear</w:t>
            </w:r>
            <w:r w:rsidRPr="00555116">
              <w:rPr>
                <w:rFonts w:ascii="Arial" w:hAnsi="Arial" w:cs="Arial"/>
                <w:sz w:val="22"/>
                <w:szCs w:val="22"/>
              </w:rPr>
              <w:t xml:space="preserve"> to all </w:t>
            </w:r>
            <w:r w:rsidR="002E16D4">
              <w:rPr>
                <w:rFonts w:ascii="Arial" w:hAnsi="Arial" w:cs="Arial"/>
                <w:sz w:val="22"/>
                <w:szCs w:val="22"/>
              </w:rPr>
              <w:t>students via a range of mechanisms.</w:t>
            </w:r>
          </w:p>
          <w:p w:rsidR="002E16D4" w:rsidRPr="004B39B4" w:rsidRDefault="002E16D4" w:rsidP="002E16D4">
            <w:pPr>
              <w:pStyle w:val="Default"/>
              <w:ind w:left="720"/>
              <w:rPr>
                <w:sz w:val="22"/>
                <w:szCs w:val="22"/>
              </w:rPr>
            </w:pPr>
          </w:p>
        </w:tc>
        <w:tc>
          <w:tcPr>
            <w:tcW w:w="1961" w:type="dxa"/>
          </w:tcPr>
          <w:p w:rsidR="00822A05" w:rsidRDefault="00822A05" w:rsidP="001C4800">
            <w:pPr>
              <w:pStyle w:val="BodyTextIndent2"/>
              <w:ind w:left="0"/>
              <w:rPr>
                <w:sz w:val="22"/>
                <w:szCs w:val="22"/>
              </w:rPr>
            </w:pPr>
            <w:r>
              <w:rPr>
                <w:sz w:val="22"/>
                <w:szCs w:val="22"/>
              </w:rPr>
              <w:t>Expectation for Quality</w:t>
            </w:r>
          </w:p>
          <w:p w:rsidR="00822A05" w:rsidRDefault="00822A05" w:rsidP="001C4800">
            <w:pPr>
              <w:pStyle w:val="BodyTextIndent2"/>
              <w:ind w:left="0"/>
              <w:rPr>
                <w:sz w:val="22"/>
                <w:szCs w:val="22"/>
              </w:rPr>
            </w:pPr>
            <w:r>
              <w:rPr>
                <w:sz w:val="22"/>
                <w:szCs w:val="22"/>
              </w:rPr>
              <w:t>Core Practice</w:t>
            </w:r>
          </w:p>
          <w:p w:rsidR="009E1645" w:rsidRDefault="00822A05" w:rsidP="001C4800">
            <w:pPr>
              <w:pStyle w:val="BodyTextIndent2"/>
              <w:ind w:left="0"/>
              <w:rPr>
                <w:sz w:val="22"/>
                <w:szCs w:val="22"/>
              </w:rPr>
            </w:pPr>
            <w:r>
              <w:rPr>
                <w:sz w:val="22"/>
                <w:szCs w:val="22"/>
              </w:rPr>
              <w:t>Common Practice</w:t>
            </w:r>
            <w:r w:rsidR="000C228B">
              <w:rPr>
                <w:sz w:val="22"/>
                <w:szCs w:val="22"/>
              </w:rPr>
              <w:t xml:space="preserve"> </w:t>
            </w:r>
          </w:p>
          <w:p w:rsidR="00822A05" w:rsidRDefault="00822A05" w:rsidP="001C4800">
            <w:pPr>
              <w:pStyle w:val="BodyTextIndent2"/>
              <w:ind w:left="0"/>
              <w:rPr>
                <w:sz w:val="22"/>
                <w:szCs w:val="22"/>
              </w:rPr>
            </w:pPr>
            <w:r>
              <w:rPr>
                <w:sz w:val="22"/>
                <w:szCs w:val="22"/>
              </w:rPr>
              <w:t>Guiding Principles:</w:t>
            </w:r>
          </w:p>
          <w:p w:rsidR="00822A05" w:rsidRPr="005661EC" w:rsidRDefault="00822A05" w:rsidP="001C4800">
            <w:pPr>
              <w:pStyle w:val="BodyTextIndent2"/>
              <w:ind w:left="0"/>
              <w:rPr>
                <w:sz w:val="22"/>
                <w:szCs w:val="22"/>
              </w:rPr>
            </w:pPr>
            <w:r>
              <w:rPr>
                <w:sz w:val="22"/>
                <w:szCs w:val="22"/>
              </w:rPr>
              <w:t>1, 2, 3, 4, 5, 6, 7</w:t>
            </w:r>
          </w:p>
        </w:tc>
      </w:tr>
      <w:tr w:rsidR="009E1645" w:rsidRPr="005661EC" w:rsidTr="006D5B58">
        <w:tc>
          <w:tcPr>
            <w:tcW w:w="1818" w:type="dxa"/>
          </w:tcPr>
          <w:p w:rsidR="009E1645" w:rsidRPr="005661EC" w:rsidRDefault="000C228B" w:rsidP="00175C66">
            <w:pPr>
              <w:pStyle w:val="BodyTextIndent2"/>
              <w:ind w:left="0"/>
              <w:rPr>
                <w:b/>
                <w:bCs/>
                <w:sz w:val="22"/>
                <w:szCs w:val="22"/>
              </w:rPr>
            </w:pPr>
            <w:r>
              <w:rPr>
                <w:b/>
                <w:bCs/>
                <w:sz w:val="22"/>
                <w:szCs w:val="22"/>
              </w:rPr>
              <w:t>Student R</w:t>
            </w:r>
            <w:r w:rsidR="00B05F18">
              <w:rPr>
                <w:b/>
                <w:bCs/>
                <w:sz w:val="22"/>
                <w:szCs w:val="22"/>
              </w:rPr>
              <w:t>epresentation</w:t>
            </w:r>
          </w:p>
        </w:tc>
        <w:tc>
          <w:tcPr>
            <w:tcW w:w="5543" w:type="dxa"/>
          </w:tcPr>
          <w:p w:rsidR="002D362E" w:rsidRDefault="002D362E" w:rsidP="002D362E">
            <w:pPr>
              <w:pStyle w:val="ListParagraph"/>
              <w:rPr>
                <w:sz w:val="22"/>
                <w:szCs w:val="22"/>
              </w:rPr>
            </w:pPr>
          </w:p>
          <w:p w:rsidR="00470085" w:rsidRDefault="00094909" w:rsidP="0080229C">
            <w:pPr>
              <w:pStyle w:val="ListParagraph"/>
              <w:numPr>
                <w:ilvl w:val="0"/>
                <w:numId w:val="14"/>
              </w:numPr>
              <w:rPr>
                <w:sz w:val="22"/>
                <w:szCs w:val="22"/>
              </w:rPr>
            </w:pPr>
            <w:r>
              <w:rPr>
                <w:sz w:val="22"/>
                <w:szCs w:val="22"/>
              </w:rPr>
              <w:t xml:space="preserve">The College </w:t>
            </w:r>
            <w:r w:rsidR="00470085">
              <w:rPr>
                <w:sz w:val="22"/>
                <w:szCs w:val="22"/>
              </w:rPr>
              <w:t>will be committed to developing academic communities characterised by mutual respect between staff and students.</w:t>
            </w:r>
          </w:p>
          <w:p w:rsidR="00094909" w:rsidRPr="00470085" w:rsidRDefault="00094909" w:rsidP="00470085">
            <w:pPr>
              <w:rPr>
                <w:sz w:val="22"/>
                <w:szCs w:val="22"/>
              </w:rPr>
            </w:pPr>
            <w:r w:rsidRPr="00470085">
              <w:rPr>
                <w:sz w:val="22"/>
                <w:szCs w:val="22"/>
              </w:rPr>
              <w:t xml:space="preserve"> </w:t>
            </w:r>
          </w:p>
          <w:p w:rsidR="00470085" w:rsidRDefault="00470085" w:rsidP="0080229C">
            <w:pPr>
              <w:pStyle w:val="ListParagraph"/>
              <w:numPr>
                <w:ilvl w:val="0"/>
                <w:numId w:val="14"/>
              </w:numPr>
              <w:rPr>
                <w:sz w:val="22"/>
                <w:szCs w:val="22"/>
              </w:rPr>
            </w:pPr>
            <w:r>
              <w:rPr>
                <w:sz w:val="22"/>
                <w:szCs w:val="22"/>
              </w:rPr>
              <w:t xml:space="preserve">The College will develop academic communities which draw on the expertise and experience of both staff and students to reflect on and enhance the quality of the educational opportunities the College offers. </w:t>
            </w:r>
          </w:p>
          <w:p w:rsidR="00470085" w:rsidRPr="00470085" w:rsidRDefault="00470085" w:rsidP="00470085">
            <w:pPr>
              <w:pStyle w:val="ListParagraph"/>
              <w:rPr>
                <w:sz w:val="22"/>
                <w:szCs w:val="22"/>
              </w:rPr>
            </w:pPr>
          </w:p>
          <w:p w:rsidR="00470085" w:rsidRDefault="00470085" w:rsidP="0080229C">
            <w:pPr>
              <w:pStyle w:val="ListParagraph"/>
              <w:numPr>
                <w:ilvl w:val="0"/>
                <w:numId w:val="14"/>
              </w:numPr>
              <w:rPr>
                <w:sz w:val="22"/>
                <w:szCs w:val="22"/>
              </w:rPr>
            </w:pPr>
            <w:r>
              <w:rPr>
                <w:sz w:val="22"/>
                <w:szCs w:val="22"/>
              </w:rPr>
              <w:t xml:space="preserve">The College will ensure the formal arrangement and management of student engagement through student representation and </w:t>
            </w:r>
            <w:r w:rsidR="0080229C">
              <w:rPr>
                <w:sz w:val="22"/>
                <w:szCs w:val="22"/>
              </w:rPr>
              <w:t>elected</w:t>
            </w:r>
            <w:r>
              <w:rPr>
                <w:sz w:val="22"/>
                <w:szCs w:val="22"/>
              </w:rPr>
              <w:t xml:space="preserve"> HE Group Representatives.</w:t>
            </w:r>
          </w:p>
          <w:p w:rsidR="007D7184" w:rsidRPr="002D362E" w:rsidRDefault="007D7184" w:rsidP="002D362E">
            <w:pPr>
              <w:rPr>
                <w:sz w:val="22"/>
                <w:szCs w:val="22"/>
              </w:rPr>
            </w:pPr>
          </w:p>
          <w:p w:rsidR="007E3F1B" w:rsidRDefault="007E3F1B" w:rsidP="0080229C">
            <w:pPr>
              <w:pStyle w:val="ListParagraph"/>
              <w:numPr>
                <w:ilvl w:val="0"/>
                <w:numId w:val="14"/>
              </w:numPr>
              <w:rPr>
                <w:sz w:val="22"/>
                <w:szCs w:val="22"/>
              </w:rPr>
            </w:pPr>
            <w:r>
              <w:rPr>
                <w:sz w:val="22"/>
                <w:szCs w:val="22"/>
              </w:rPr>
              <w:t>Programme teams are responsible for overseeing the nomination and election of HE Group Representatives and to notify HEDO of the name of the elected student(s).</w:t>
            </w:r>
          </w:p>
          <w:p w:rsidR="002D362E" w:rsidRPr="000C5672" w:rsidRDefault="002D362E" w:rsidP="000C5672">
            <w:pPr>
              <w:rPr>
                <w:sz w:val="22"/>
                <w:szCs w:val="22"/>
              </w:rPr>
            </w:pPr>
          </w:p>
          <w:p w:rsidR="007D7184" w:rsidRDefault="007E3F1B" w:rsidP="000C5672">
            <w:pPr>
              <w:pStyle w:val="ListParagraph"/>
              <w:numPr>
                <w:ilvl w:val="0"/>
                <w:numId w:val="14"/>
              </w:numPr>
              <w:rPr>
                <w:sz w:val="22"/>
                <w:szCs w:val="22"/>
              </w:rPr>
            </w:pPr>
            <w:r>
              <w:rPr>
                <w:sz w:val="22"/>
                <w:szCs w:val="22"/>
              </w:rPr>
              <w:t>HEDO</w:t>
            </w:r>
            <w:r w:rsidR="007D7184">
              <w:rPr>
                <w:sz w:val="22"/>
                <w:szCs w:val="22"/>
              </w:rPr>
              <w:t xml:space="preserve"> will ensure that HE Group Representatives are</w:t>
            </w:r>
            <w:r>
              <w:rPr>
                <w:sz w:val="22"/>
                <w:szCs w:val="22"/>
              </w:rPr>
              <w:t xml:space="preserve"> provided with the appropriate HE Group Representative handbook, </w:t>
            </w:r>
            <w:r w:rsidR="007D7184">
              <w:rPr>
                <w:sz w:val="22"/>
                <w:szCs w:val="22"/>
              </w:rPr>
              <w:t xml:space="preserve">training, guidance and support as seen as necessary to fulfil the role of HE Group Representative. </w:t>
            </w:r>
          </w:p>
          <w:p w:rsidR="00132791" w:rsidRPr="00132791" w:rsidRDefault="00132791" w:rsidP="00132791">
            <w:pPr>
              <w:rPr>
                <w:sz w:val="22"/>
                <w:szCs w:val="22"/>
              </w:rPr>
            </w:pPr>
          </w:p>
          <w:p w:rsidR="007D7184" w:rsidRPr="007D7184" w:rsidRDefault="007D7184" w:rsidP="0080229C">
            <w:pPr>
              <w:pStyle w:val="ListParagraph"/>
              <w:numPr>
                <w:ilvl w:val="0"/>
                <w:numId w:val="14"/>
              </w:numPr>
              <w:rPr>
                <w:sz w:val="22"/>
                <w:szCs w:val="22"/>
              </w:rPr>
            </w:pPr>
            <w:r>
              <w:rPr>
                <w:sz w:val="22"/>
                <w:szCs w:val="22"/>
              </w:rPr>
              <w:t xml:space="preserve">HE Group Representatives will represent the collective voice of students within their group (compliments, comments and concerns), to College staff, HEDO, QAA and validating partners. </w:t>
            </w:r>
            <w:r w:rsidR="00174210">
              <w:rPr>
                <w:sz w:val="22"/>
                <w:szCs w:val="22"/>
              </w:rPr>
              <w:t xml:space="preserve">This will involve the attendance and participation in meetings. </w:t>
            </w:r>
          </w:p>
          <w:p w:rsidR="00470085" w:rsidRPr="00470085" w:rsidRDefault="00470085" w:rsidP="00470085">
            <w:pPr>
              <w:pStyle w:val="ListParagraph"/>
              <w:rPr>
                <w:sz w:val="22"/>
                <w:szCs w:val="22"/>
              </w:rPr>
            </w:pPr>
          </w:p>
          <w:p w:rsidR="00470085" w:rsidRDefault="007D7184" w:rsidP="0080229C">
            <w:pPr>
              <w:pStyle w:val="ListParagraph"/>
              <w:numPr>
                <w:ilvl w:val="0"/>
                <w:numId w:val="14"/>
              </w:numPr>
              <w:rPr>
                <w:sz w:val="22"/>
                <w:szCs w:val="22"/>
              </w:rPr>
            </w:pPr>
            <w:r>
              <w:rPr>
                <w:sz w:val="22"/>
                <w:szCs w:val="22"/>
              </w:rPr>
              <w:t xml:space="preserve">The College will </w:t>
            </w:r>
            <w:r w:rsidR="00470085">
              <w:rPr>
                <w:sz w:val="22"/>
                <w:szCs w:val="22"/>
              </w:rPr>
              <w:t xml:space="preserve">ensure that activities relating to student representation do not make disproportionate </w:t>
            </w:r>
            <w:r>
              <w:rPr>
                <w:sz w:val="22"/>
                <w:szCs w:val="22"/>
              </w:rPr>
              <w:t>demands on the time of students.</w:t>
            </w:r>
          </w:p>
          <w:p w:rsidR="00470085" w:rsidRPr="00174210" w:rsidRDefault="00470085" w:rsidP="00174210">
            <w:pPr>
              <w:rPr>
                <w:sz w:val="22"/>
                <w:szCs w:val="22"/>
              </w:rPr>
            </w:pPr>
          </w:p>
          <w:p w:rsidR="007E3F1B" w:rsidRPr="007E3F1B" w:rsidRDefault="0080229C" w:rsidP="00174210">
            <w:pPr>
              <w:pStyle w:val="ListParagraph"/>
              <w:numPr>
                <w:ilvl w:val="0"/>
                <w:numId w:val="14"/>
              </w:numPr>
              <w:rPr>
                <w:sz w:val="22"/>
                <w:szCs w:val="22"/>
              </w:rPr>
            </w:pPr>
            <w:r>
              <w:rPr>
                <w:sz w:val="22"/>
                <w:szCs w:val="22"/>
              </w:rPr>
              <w:t xml:space="preserve">HE Group Representatives will act in the role of liaison, </w:t>
            </w:r>
            <w:r w:rsidR="00174210">
              <w:rPr>
                <w:sz w:val="22"/>
                <w:szCs w:val="22"/>
              </w:rPr>
              <w:t>providing</w:t>
            </w:r>
            <w:r w:rsidR="007E3F1B">
              <w:rPr>
                <w:sz w:val="22"/>
                <w:szCs w:val="22"/>
              </w:rPr>
              <w:t xml:space="preserve"> a link between staff and students.</w:t>
            </w:r>
          </w:p>
          <w:p w:rsidR="0080229C" w:rsidRPr="007E3F1B" w:rsidRDefault="0080229C" w:rsidP="007E3F1B">
            <w:pPr>
              <w:rPr>
                <w:sz w:val="22"/>
                <w:szCs w:val="22"/>
              </w:rPr>
            </w:pPr>
          </w:p>
          <w:p w:rsidR="003129CD" w:rsidRPr="0075713E" w:rsidRDefault="0075713E" w:rsidP="00174210">
            <w:pPr>
              <w:pStyle w:val="ListParagraph"/>
              <w:numPr>
                <w:ilvl w:val="0"/>
                <w:numId w:val="14"/>
              </w:numPr>
              <w:rPr>
                <w:sz w:val="22"/>
                <w:szCs w:val="22"/>
              </w:rPr>
            </w:pPr>
            <w:r w:rsidRPr="0075713E">
              <w:rPr>
                <w:sz w:val="22"/>
                <w:szCs w:val="22"/>
              </w:rPr>
              <w:t>The College will make students fully aware of the s</w:t>
            </w:r>
            <w:r w:rsidR="00470085" w:rsidRPr="0075713E">
              <w:rPr>
                <w:sz w:val="22"/>
                <w:szCs w:val="22"/>
              </w:rPr>
              <w:t>tudent ambassador scheme</w:t>
            </w:r>
            <w:r w:rsidRPr="0075713E">
              <w:rPr>
                <w:sz w:val="22"/>
                <w:szCs w:val="22"/>
              </w:rPr>
              <w:t xml:space="preserve">, whereby current students will work in partnership with HEDO to facilitate outreach and other activities for potential or new students. </w:t>
            </w:r>
          </w:p>
          <w:p w:rsidR="0075713E" w:rsidRPr="0075713E" w:rsidRDefault="0075713E" w:rsidP="0075713E">
            <w:pPr>
              <w:pStyle w:val="ListParagraph"/>
              <w:rPr>
                <w:sz w:val="22"/>
                <w:szCs w:val="22"/>
              </w:rPr>
            </w:pPr>
          </w:p>
          <w:p w:rsidR="0075713E" w:rsidRPr="00174210" w:rsidRDefault="0075713E" w:rsidP="002E16D4">
            <w:pPr>
              <w:pStyle w:val="ListParagraph"/>
              <w:rPr>
                <w:sz w:val="22"/>
                <w:szCs w:val="22"/>
              </w:rPr>
            </w:pPr>
          </w:p>
        </w:tc>
        <w:tc>
          <w:tcPr>
            <w:tcW w:w="1961" w:type="dxa"/>
          </w:tcPr>
          <w:p w:rsidR="00822A05" w:rsidRDefault="00822A05" w:rsidP="00822A05">
            <w:pPr>
              <w:pStyle w:val="BodyTextIndent2"/>
              <w:ind w:left="0"/>
              <w:rPr>
                <w:sz w:val="22"/>
                <w:szCs w:val="22"/>
              </w:rPr>
            </w:pPr>
            <w:r>
              <w:rPr>
                <w:sz w:val="22"/>
                <w:szCs w:val="22"/>
              </w:rPr>
              <w:lastRenderedPageBreak/>
              <w:t>Expectation for Quality</w:t>
            </w:r>
          </w:p>
          <w:p w:rsidR="00822A05" w:rsidRDefault="00822A05" w:rsidP="00822A05">
            <w:pPr>
              <w:pStyle w:val="BodyTextIndent2"/>
              <w:ind w:left="0"/>
              <w:rPr>
                <w:sz w:val="22"/>
                <w:szCs w:val="22"/>
              </w:rPr>
            </w:pPr>
            <w:r>
              <w:rPr>
                <w:sz w:val="22"/>
                <w:szCs w:val="22"/>
              </w:rPr>
              <w:t>Core Practice</w:t>
            </w:r>
          </w:p>
          <w:p w:rsidR="00822A05" w:rsidRDefault="00822A05" w:rsidP="00822A05">
            <w:pPr>
              <w:pStyle w:val="BodyTextIndent2"/>
              <w:ind w:left="0"/>
              <w:rPr>
                <w:sz w:val="22"/>
                <w:szCs w:val="22"/>
              </w:rPr>
            </w:pPr>
            <w:r>
              <w:rPr>
                <w:sz w:val="22"/>
                <w:szCs w:val="22"/>
              </w:rPr>
              <w:t xml:space="preserve">Common Practice </w:t>
            </w:r>
          </w:p>
          <w:p w:rsidR="00822A05" w:rsidRDefault="00822A05" w:rsidP="00822A05">
            <w:pPr>
              <w:pStyle w:val="BodyTextIndent2"/>
              <w:ind w:left="0"/>
              <w:rPr>
                <w:sz w:val="22"/>
                <w:szCs w:val="22"/>
              </w:rPr>
            </w:pPr>
            <w:r>
              <w:rPr>
                <w:sz w:val="22"/>
                <w:szCs w:val="22"/>
              </w:rPr>
              <w:t>Guiding Principles:</w:t>
            </w:r>
          </w:p>
          <w:p w:rsidR="009E1645" w:rsidRPr="005661EC" w:rsidRDefault="00822A05" w:rsidP="0072771D">
            <w:pPr>
              <w:pStyle w:val="BodyTextIndent2"/>
              <w:ind w:left="0"/>
              <w:rPr>
                <w:sz w:val="22"/>
                <w:szCs w:val="22"/>
              </w:rPr>
            </w:pPr>
            <w:r>
              <w:rPr>
                <w:sz w:val="22"/>
                <w:szCs w:val="22"/>
              </w:rPr>
              <w:t>1, 2, 3, 4, 5</w:t>
            </w:r>
          </w:p>
        </w:tc>
      </w:tr>
      <w:tr w:rsidR="00B05F18" w:rsidRPr="005661EC" w:rsidTr="006D5B58">
        <w:tc>
          <w:tcPr>
            <w:tcW w:w="1818" w:type="dxa"/>
          </w:tcPr>
          <w:p w:rsidR="00B05F18" w:rsidRDefault="000C228B" w:rsidP="002D362E">
            <w:pPr>
              <w:pStyle w:val="BodyTextIndent2"/>
              <w:ind w:left="0"/>
              <w:rPr>
                <w:b/>
                <w:bCs/>
                <w:sz w:val="22"/>
                <w:szCs w:val="22"/>
              </w:rPr>
            </w:pPr>
            <w:r>
              <w:rPr>
                <w:b/>
                <w:bCs/>
                <w:sz w:val="22"/>
                <w:szCs w:val="22"/>
              </w:rPr>
              <w:t>Curriculum Review and E</w:t>
            </w:r>
            <w:r w:rsidR="002D362E">
              <w:rPr>
                <w:b/>
                <w:bCs/>
                <w:sz w:val="22"/>
                <w:szCs w:val="22"/>
              </w:rPr>
              <w:t xml:space="preserve">valuation </w:t>
            </w:r>
          </w:p>
        </w:tc>
        <w:tc>
          <w:tcPr>
            <w:tcW w:w="5543" w:type="dxa"/>
          </w:tcPr>
          <w:p w:rsidR="00B660F7" w:rsidRDefault="00B660F7" w:rsidP="00B660F7">
            <w:pPr>
              <w:pStyle w:val="ListParagraph"/>
              <w:rPr>
                <w:sz w:val="22"/>
                <w:szCs w:val="22"/>
              </w:rPr>
            </w:pPr>
          </w:p>
          <w:p w:rsidR="002D362E" w:rsidRDefault="00555116" w:rsidP="002D362E">
            <w:pPr>
              <w:pStyle w:val="ListParagraph"/>
              <w:numPr>
                <w:ilvl w:val="0"/>
                <w:numId w:val="15"/>
              </w:numPr>
              <w:rPr>
                <w:sz w:val="22"/>
                <w:szCs w:val="22"/>
              </w:rPr>
            </w:pPr>
            <w:r>
              <w:rPr>
                <w:sz w:val="22"/>
                <w:szCs w:val="22"/>
              </w:rPr>
              <w:t xml:space="preserve">The College will </w:t>
            </w:r>
            <w:r w:rsidR="002D362E">
              <w:rPr>
                <w:sz w:val="22"/>
                <w:szCs w:val="22"/>
              </w:rPr>
              <w:t>ensure that its processes for engaging with students allow sufficient opportunity for students to provide feedback, but that they do not make disproportionate demands on the time of students and staff</w:t>
            </w:r>
          </w:p>
          <w:p w:rsidR="00555116" w:rsidRDefault="00555116" w:rsidP="00555116">
            <w:pPr>
              <w:pStyle w:val="ListParagraph"/>
              <w:rPr>
                <w:sz w:val="22"/>
                <w:szCs w:val="22"/>
              </w:rPr>
            </w:pPr>
          </w:p>
          <w:p w:rsidR="00B660F7" w:rsidRPr="00B660F7" w:rsidRDefault="00B660F7" w:rsidP="00B660F7">
            <w:pPr>
              <w:pStyle w:val="ISEDbodytext"/>
              <w:numPr>
                <w:ilvl w:val="0"/>
                <w:numId w:val="15"/>
              </w:numPr>
              <w:spacing w:after="0"/>
              <w:rPr>
                <w:rFonts w:cs="Arial"/>
                <w:color w:val="auto"/>
                <w:szCs w:val="22"/>
              </w:rPr>
            </w:pPr>
            <w:r w:rsidRPr="00B660F7">
              <w:rPr>
                <w:rFonts w:cs="Arial"/>
                <w:szCs w:val="22"/>
              </w:rPr>
              <w:t>The College will provide all students with the opportunity to make their views on their educational experience known to the College.</w:t>
            </w:r>
          </w:p>
          <w:p w:rsidR="00B660F7" w:rsidRPr="00B660F7" w:rsidRDefault="00B660F7" w:rsidP="00B660F7">
            <w:pPr>
              <w:pStyle w:val="ISEDbodytext"/>
              <w:spacing w:after="0"/>
              <w:rPr>
                <w:rFonts w:cs="Arial"/>
                <w:color w:val="auto"/>
                <w:szCs w:val="22"/>
              </w:rPr>
            </w:pPr>
          </w:p>
          <w:p w:rsidR="00B660F7" w:rsidRDefault="00B660F7" w:rsidP="00B660F7">
            <w:pPr>
              <w:pStyle w:val="ISEDbodytext"/>
              <w:numPr>
                <w:ilvl w:val="0"/>
                <w:numId w:val="15"/>
              </w:numPr>
              <w:spacing w:after="0"/>
              <w:ind w:left="714" w:hanging="357"/>
              <w:rPr>
                <w:rFonts w:cs="Arial"/>
                <w:color w:val="auto"/>
                <w:szCs w:val="22"/>
              </w:rPr>
            </w:pPr>
            <w:r>
              <w:rPr>
                <w:rFonts w:cs="Arial"/>
                <w:color w:val="auto"/>
                <w:szCs w:val="22"/>
              </w:rPr>
              <w:t>The College will provide opportunity for student consultation on the v</w:t>
            </w:r>
            <w:r w:rsidR="002D362E" w:rsidRPr="00B660F7">
              <w:rPr>
                <w:rFonts w:cs="Arial"/>
                <w:color w:val="auto"/>
                <w:szCs w:val="22"/>
              </w:rPr>
              <w:t>al</w:t>
            </w:r>
            <w:r>
              <w:rPr>
                <w:rFonts w:cs="Arial"/>
                <w:color w:val="auto"/>
                <w:szCs w:val="22"/>
              </w:rPr>
              <w:t>idation</w:t>
            </w:r>
            <w:r w:rsidR="002D362E" w:rsidRPr="00B660F7">
              <w:rPr>
                <w:rFonts w:cs="Arial"/>
                <w:color w:val="auto"/>
                <w:szCs w:val="22"/>
              </w:rPr>
              <w:t xml:space="preserve"> of new</w:t>
            </w:r>
            <w:r>
              <w:rPr>
                <w:rFonts w:cs="Arial"/>
                <w:color w:val="auto"/>
                <w:szCs w:val="22"/>
              </w:rPr>
              <w:t xml:space="preserve"> programmes of study.</w:t>
            </w:r>
          </w:p>
          <w:p w:rsidR="00B660F7" w:rsidRPr="00B660F7" w:rsidRDefault="00B660F7" w:rsidP="00B660F7">
            <w:pPr>
              <w:pStyle w:val="ISEDbodytext"/>
              <w:spacing w:after="0"/>
              <w:ind w:left="714"/>
              <w:rPr>
                <w:rFonts w:cs="Arial"/>
                <w:color w:val="auto"/>
                <w:szCs w:val="22"/>
              </w:rPr>
            </w:pPr>
          </w:p>
          <w:p w:rsidR="00B660F7" w:rsidRPr="00B660F7" w:rsidRDefault="00B660F7" w:rsidP="002E16D4">
            <w:pPr>
              <w:pStyle w:val="ISEDbodytext"/>
              <w:numPr>
                <w:ilvl w:val="0"/>
                <w:numId w:val="15"/>
              </w:numPr>
              <w:spacing w:after="0"/>
              <w:ind w:left="714" w:hanging="357"/>
              <w:rPr>
                <w:rFonts w:cs="Arial"/>
                <w:color w:val="auto"/>
                <w:szCs w:val="22"/>
              </w:rPr>
            </w:pPr>
            <w:r>
              <w:rPr>
                <w:rFonts w:cs="Arial"/>
                <w:color w:val="auto"/>
                <w:szCs w:val="22"/>
              </w:rPr>
              <w:t xml:space="preserve">The College will </w:t>
            </w:r>
            <w:r w:rsidR="002E16D4">
              <w:rPr>
                <w:rFonts w:cs="Arial"/>
                <w:color w:val="auto"/>
                <w:szCs w:val="22"/>
              </w:rPr>
              <w:t>consult with students regarding changes to academic regulations .</w:t>
            </w:r>
          </w:p>
        </w:tc>
        <w:tc>
          <w:tcPr>
            <w:tcW w:w="1961" w:type="dxa"/>
          </w:tcPr>
          <w:p w:rsidR="00822A05" w:rsidRDefault="00822A05" w:rsidP="00822A05">
            <w:pPr>
              <w:pStyle w:val="BodyTextIndent2"/>
              <w:ind w:left="0"/>
              <w:rPr>
                <w:sz w:val="22"/>
                <w:szCs w:val="22"/>
              </w:rPr>
            </w:pPr>
            <w:r>
              <w:rPr>
                <w:sz w:val="22"/>
                <w:szCs w:val="22"/>
              </w:rPr>
              <w:t>Expectation for Quality</w:t>
            </w:r>
          </w:p>
          <w:p w:rsidR="00822A05" w:rsidRDefault="00822A05" w:rsidP="00822A05">
            <w:pPr>
              <w:pStyle w:val="BodyTextIndent2"/>
              <w:ind w:left="0"/>
              <w:rPr>
                <w:sz w:val="22"/>
                <w:szCs w:val="22"/>
              </w:rPr>
            </w:pPr>
            <w:r>
              <w:rPr>
                <w:sz w:val="22"/>
                <w:szCs w:val="22"/>
              </w:rPr>
              <w:t>Core Practice</w:t>
            </w:r>
          </w:p>
          <w:p w:rsidR="00822A05" w:rsidRDefault="00822A05" w:rsidP="00822A05">
            <w:pPr>
              <w:pStyle w:val="BodyTextIndent2"/>
              <w:ind w:left="0"/>
              <w:rPr>
                <w:sz w:val="22"/>
                <w:szCs w:val="22"/>
              </w:rPr>
            </w:pPr>
            <w:r>
              <w:rPr>
                <w:sz w:val="22"/>
                <w:szCs w:val="22"/>
              </w:rPr>
              <w:t xml:space="preserve">Common Practice </w:t>
            </w:r>
          </w:p>
          <w:p w:rsidR="00822A05" w:rsidRDefault="00822A05" w:rsidP="00822A05">
            <w:pPr>
              <w:pStyle w:val="BodyTextIndent2"/>
              <w:ind w:left="0"/>
              <w:rPr>
                <w:sz w:val="22"/>
                <w:szCs w:val="22"/>
              </w:rPr>
            </w:pPr>
            <w:r>
              <w:rPr>
                <w:sz w:val="22"/>
                <w:szCs w:val="22"/>
              </w:rPr>
              <w:t>Guiding Principles:</w:t>
            </w:r>
          </w:p>
          <w:p w:rsidR="00B05F18" w:rsidRDefault="00822A05" w:rsidP="00822A05">
            <w:pPr>
              <w:pStyle w:val="BodyTextIndent2"/>
              <w:ind w:left="0"/>
              <w:rPr>
                <w:sz w:val="22"/>
                <w:szCs w:val="22"/>
              </w:rPr>
            </w:pPr>
            <w:r>
              <w:rPr>
                <w:sz w:val="22"/>
                <w:szCs w:val="22"/>
              </w:rPr>
              <w:t>1, 2, 3, 4, 5, 6, 7</w:t>
            </w:r>
          </w:p>
        </w:tc>
      </w:tr>
      <w:tr w:rsidR="0012060E" w:rsidRPr="005661EC" w:rsidTr="006D5B58">
        <w:tc>
          <w:tcPr>
            <w:tcW w:w="1818" w:type="dxa"/>
          </w:tcPr>
          <w:p w:rsidR="0012060E" w:rsidRPr="005661EC" w:rsidRDefault="000C228B" w:rsidP="00175C66">
            <w:pPr>
              <w:pStyle w:val="BodyTextIndent2"/>
              <w:ind w:left="0"/>
              <w:rPr>
                <w:b/>
                <w:bCs/>
                <w:sz w:val="22"/>
                <w:szCs w:val="22"/>
              </w:rPr>
            </w:pPr>
            <w:r>
              <w:rPr>
                <w:b/>
                <w:bCs/>
                <w:sz w:val="22"/>
                <w:szCs w:val="22"/>
              </w:rPr>
              <w:t>Enhancement of Teaching and L</w:t>
            </w:r>
            <w:r w:rsidR="002D362E">
              <w:rPr>
                <w:b/>
                <w:bCs/>
                <w:sz w:val="22"/>
                <w:szCs w:val="22"/>
              </w:rPr>
              <w:t>earning</w:t>
            </w:r>
          </w:p>
        </w:tc>
        <w:tc>
          <w:tcPr>
            <w:tcW w:w="5543" w:type="dxa"/>
          </w:tcPr>
          <w:p w:rsidR="00B660F7" w:rsidRDefault="00B660F7" w:rsidP="00B660F7">
            <w:pPr>
              <w:pStyle w:val="ListParagraph"/>
              <w:rPr>
                <w:sz w:val="22"/>
                <w:szCs w:val="22"/>
              </w:rPr>
            </w:pPr>
          </w:p>
          <w:p w:rsidR="00B660F7" w:rsidRPr="00B660F7" w:rsidRDefault="00B660F7" w:rsidP="00B660F7">
            <w:pPr>
              <w:pStyle w:val="ISEDbodytext"/>
              <w:numPr>
                <w:ilvl w:val="0"/>
                <w:numId w:val="15"/>
              </w:numPr>
              <w:spacing w:after="0"/>
              <w:rPr>
                <w:rFonts w:cs="Arial"/>
                <w:color w:val="auto"/>
                <w:szCs w:val="22"/>
              </w:rPr>
            </w:pPr>
            <w:r w:rsidRPr="00B660F7">
              <w:rPr>
                <w:rFonts w:cs="Arial"/>
                <w:szCs w:val="22"/>
              </w:rPr>
              <w:t xml:space="preserve">The College will provide students with the opportunity to </w:t>
            </w:r>
            <w:r>
              <w:rPr>
                <w:rFonts w:cs="Arial"/>
                <w:szCs w:val="22"/>
              </w:rPr>
              <w:t>collaborate on</w:t>
            </w:r>
            <w:r w:rsidR="000C228B">
              <w:rPr>
                <w:rFonts w:cs="Arial"/>
                <w:szCs w:val="22"/>
              </w:rPr>
              <w:t xml:space="preserve"> research</w:t>
            </w:r>
            <w:r>
              <w:rPr>
                <w:rFonts w:cs="Arial"/>
                <w:szCs w:val="22"/>
              </w:rPr>
              <w:t xml:space="preserve"> projects with </w:t>
            </w:r>
            <w:proofErr w:type="gramStart"/>
            <w:r>
              <w:rPr>
                <w:rFonts w:cs="Arial"/>
                <w:szCs w:val="22"/>
              </w:rPr>
              <w:t>HE</w:t>
            </w:r>
            <w:proofErr w:type="gramEnd"/>
            <w:r>
              <w:rPr>
                <w:rFonts w:cs="Arial"/>
                <w:szCs w:val="22"/>
              </w:rPr>
              <w:t xml:space="preserve"> staff for the enhancement of teaching and learning</w:t>
            </w:r>
            <w:r w:rsidRPr="00B660F7">
              <w:rPr>
                <w:rFonts w:cs="Arial"/>
                <w:szCs w:val="22"/>
              </w:rPr>
              <w:t>.</w:t>
            </w:r>
          </w:p>
          <w:p w:rsidR="00B660F7" w:rsidRPr="00B660F7" w:rsidRDefault="00B660F7" w:rsidP="00B660F7">
            <w:pPr>
              <w:pStyle w:val="ISEDbodytext"/>
              <w:spacing w:after="0"/>
              <w:ind w:left="720"/>
              <w:rPr>
                <w:rFonts w:cs="Arial"/>
                <w:color w:val="auto"/>
                <w:szCs w:val="22"/>
              </w:rPr>
            </w:pPr>
          </w:p>
          <w:p w:rsidR="00B660F7" w:rsidRDefault="00B660F7" w:rsidP="00B660F7">
            <w:pPr>
              <w:pStyle w:val="ListParagraph"/>
              <w:numPr>
                <w:ilvl w:val="0"/>
                <w:numId w:val="15"/>
              </w:numPr>
              <w:rPr>
                <w:sz w:val="22"/>
                <w:szCs w:val="22"/>
              </w:rPr>
            </w:pPr>
            <w:r>
              <w:rPr>
                <w:sz w:val="22"/>
                <w:szCs w:val="22"/>
              </w:rPr>
              <w:t xml:space="preserve">The College will ensure that its processes for collaborative projects for the enhancement of teaching and learning do not make </w:t>
            </w:r>
            <w:r>
              <w:rPr>
                <w:sz w:val="22"/>
                <w:szCs w:val="22"/>
              </w:rPr>
              <w:lastRenderedPageBreak/>
              <w:t>disproportionate demands on the time of students and staff.</w:t>
            </w:r>
          </w:p>
          <w:p w:rsidR="00B660F7" w:rsidRPr="00B660F7" w:rsidRDefault="00B660F7" w:rsidP="00B660F7">
            <w:pPr>
              <w:pStyle w:val="ISEDbodytext"/>
              <w:spacing w:after="0"/>
              <w:rPr>
                <w:rFonts w:cs="Arial"/>
                <w:color w:val="auto"/>
                <w:szCs w:val="22"/>
              </w:rPr>
            </w:pPr>
          </w:p>
        </w:tc>
        <w:tc>
          <w:tcPr>
            <w:tcW w:w="1961" w:type="dxa"/>
          </w:tcPr>
          <w:p w:rsidR="00822A05" w:rsidRDefault="00822A05" w:rsidP="00822A05">
            <w:pPr>
              <w:pStyle w:val="BodyTextIndent2"/>
              <w:ind w:left="0"/>
              <w:rPr>
                <w:sz w:val="22"/>
                <w:szCs w:val="22"/>
              </w:rPr>
            </w:pPr>
            <w:r>
              <w:rPr>
                <w:sz w:val="22"/>
                <w:szCs w:val="22"/>
              </w:rPr>
              <w:lastRenderedPageBreak/>
              <w:t>Expectation for Quality</w:t>
            </w:r>
          </w:p>
          <w:p w:rsidR="00822A05" w:rsidRDefault="00822A05" w:rsidP="00822A05">
            <w:pPr>
              <w:pStyle w:val="BodyTextIndent2"/>
              <w:ind w:left="0"/>
              <w:rPr>
                <w:sz w:val="22"/>
                <w:szCs w:val="22"/>
              </w:rPr>
            </w:pPr>
            <w:r>
              <w:rPr>
                <w:sz w:val="22"/>
                <w:szCs w:val="22"/>
              </w:rPr>
              <w:t>Core Practice</w:t>
            </w:r>
          </w:p>
          <w:p w:rsidR="00822A05" w:rsidRDefault="00822A05" w:rsidP="00822A05">
            <w:pPr>
              <w:pStyle w:val="BodyTextIndent2"/>
              <w:ind w:left="0"/>
              <w:rPr>
                <w:sz w:val="22"/>
                <w:szCs w:val="22"/>
              </w:rPr>
            </w:pPr>
            <w:r>
              <w:rPr>
                <w:sz w:val="22"/>
                <w:szCs w:val="22"/>
              </w:rPr>
              <w:t xml:space="preserve">Common Practice </w:t>
            </w:r>
          </w:p>
          <w:p w:rsidR="00822A05" w:rsidRDefault="00822A05" w:rsidP="00822A05">
            <w:pPr>
              <w:pStyle w:val="BodyTextIndent2"/>
              <w:ind w:left="0"/>
              <w:rPr>
                <w:sz w:val="22"/>
                <w:szCs w:val="22"/>
              </w:rPr>
            </w:pPr>
            <w:r>
              <w:rPr>
                <w:sz w:val="22"/>
                <w:szCs w:val="22"/>
              </w:rPr>
              <w:lastRenderedPageBreak/>
              <w:t>Guiding Principles:</w:t>
            </w:r>
          </w:p>
          <w:p w:rsidR="0012060E" w:rsidRPr="005661EC" w:rsidRDefault="00822A05" w:rsidP="00822A05">
            <w:pPr>
              <w:pStyle w:val="BodyTextIndent2"/>
              <w:ind w:left="0"/>
              <w:rPr>
                <w:sz w:val="22"/>
                <w:szCs w:val="22"/>
              </w:rPr>
            </w:pPr>
            <w:r>
              <w:rPr>
                <w:sz w:val="22"/>
                <w:szCs w:val="22"/>
              </w:rPr>
              <w:t>1, 2, 3, 4, 5, 6, 7</w:t>
            </w:r>
          </w:p>
        </w:tc>
      </w:tr>
      <w:tr w:rsidR="009E1645" w:rsidRPr="005661EC" w:rsidTr="006D5B58">
        <w:tc>
          <w:tcPr>
            <w:tcW w:w="1818" w:type="dxa"/>
          </w:tcPr>
          <w:p w:rsidR="009E1645" w:rsidRPr="005661EC" w:rsidRDefault="009E1645">
            <w:pPr>
              <w:pStyle w:val="BodyTextIndent2"/>
              <w:ind w:left="0"/>
              <w:rPr>
                <w:b/>
                <w:bCs/>
                <w:sz w:val="22"/>
                <w:szCs w:val="22"/>
              </w:rPr>
            </w:pPr>
            <w:r w:rsidRPr="005661EC">
              <w:rPr>
                <w:b/>
                <w:bCs/>
                <w:sz w:val="22"/>
                <w:szCs w:val="22"/>
              </w:rPr>
              <w:lastRenderedPageBreak/>
              <w:t>Staff Development and Training</w:t>
            </w:r>
          </w:p>
        </w:tc>
        <w:tc>
          <w:tcPr>
            <w:tcW w:w="5543" w:type="dxa"/>
          </w:tcPr>
          <w:p w:rsidR="009E1645" w:rsidRPr="005661EC" w:rsidRDefault="009E1645">
            <w:pPr>
              <w:pStyle w:val="BodyTextIndent2"/>
              <w:ind w:left="0"/>
              <w:rPr>
                <w:sz w:val="22"/>
                <w:szCs w:val="22"/>
              </w:rPr>
            </w:pPr>
            <w:r w:rsidRPr="005661EC">
              <w:rPr>
                <w:sz w:val="22"/>
                <w:szCs w:val="22"/>
              </w:rPr>
              <w:t xml:space="preserve">All staff associated with </w:t>
            </w:r>
            <w:r w:rsidR="00B05F18">
              <w:rPr>
                <w:sz w:val="22"/>
                <w:szCs w:val="22"/>
              </w:rPr>
              <w:t xml:space="preserve">student engagement </w:t>
            </w:r>
            <w:r w:rsidRPr="005661EC">
              <w:rPr>
                <w:sz w:val="22"/>
                <w:szCs w:val="22"/>
              </w:rPr>
              <w:t xml:space="preserve">will be given appropriate training and development and meet the requirements of the awarding body and where appropriate, the Quality Assurance Agency </w:t>
            </w:r>
            <w:r w:rsidR="00F87971">
              <w:rPr>
                <w:sz w:val="22"/>
                <w:szCs w:val="22"/>
              </w:rPr>
              <w:t>Quality Code</w:t>
            </w:r>
            <w:r w:rsidRPr="005661EC">
              <w:rPr>
                <w:sz w:val="22"/>
                <w:szCs w:val="22"/>
              </w:rPr>
              <w:t>.</w:t>
            </w:r>
          </w:p>
        </w:tc>
        <w:tc>
          <w:tcPr>
            <w:tcW w:w="1961" w:type="dxa"/>
          </w:tcPr>
          <w:p w:rsidR="009E1645" w:rsidRPr="005661EC" w:rsidRDefault="009E1645" w:rsidP="004B39B4">
            <w:pPr>
              <w:pStyle w:val="BodyTextIndent2"/>
              <w:ind w:left="0"/>
              <w:rPr>
                <w:sz w:val="22"/>
                <w:szCs w:val="22"/>
              </w:rPr>
            </w:pPr>
          </w:p>
        </w:tc>
      </w:tr>
      <w:tr w:rsidR="009E1645" w:rsidRPr="005661EC" w:rsidTr="006D5B58">
        <w:tc>
          <w:tcPr>
            <w:tcW w:w="1818" w:type="dxa"/>
          </w:tcPr>
          <w:p w:rsidR="009E1645" w:rsidRPr="005661EC" w:rsidRDefault="009E1645">
            <w:pPr>
              <w:pStyle w:val="BodyTextIndent2"/>
              <w:ind w:left="0"/>
              <w:rPr>
                <w:b/>
                <w:bCs/>
                <w:sz w:val="22"/>
                <w:szCs w:val="22"/>
              </w:rPr>
            </w:pPr>
            <w:r w:rsidRPr="005661EC">
              <w:rPr>
                <w:b/>
                <w:bCs/>
                <w:sz w:val="22"/>
                <w:szCs w:val="22"/>
              </w:rPr>
              <w:t>Equality and Diversity Statement</w:t>
            </w:r>
          </w:p>
        </w:tc>
        <w:tc>
          <w:tcPr>
            <w:tcW w:w="5543" w:type="dxa"/>
          </w:tcPr>
          <w:p w:rsidR="009E1645" w:rsidRPr="005661EC" w:rsidRDefault="009E1645">
            <w:pPr>
              <w:pStyle w:val="BodyTextIndent2"/>
              <w:ind w:left="0"/>
              <w:rPr>
                <w:sz w:val="22"/>
                <w:szCs w:val="22"/>
              </w:rPr>
            </w:pPr>
            <w:r w:rsidRPr="005661EC">
              <w:rPr>
                <w:sz w:val="22"/>
                <w:szCs w:val="22"/>
              </w:rPr>
              <w:t>This policy will be implemented in accordance with the College’s Policy on Valuing Diversi</w:t>
            </w:r>
            <w:r w:rsidR="00C56C02" w:rsidRPr="005661EC">
              <w:rPr>
                <w:sz w:val="22"/>
                <w:szCs w:val="22"/>
              </w:rPr>
              <w:t xml:space="preserve">ty and with consideration of </w:t>
            </w:r>
            <w:r w:rsidR="00B05F18">
              <w:rPr>
                <w:sz w:val="22"/>
                <w:szCs w:val="22"/>
              </w:rPr>
              <w:t>student engagement</w:t>
            </w:r>
            <w:r w:rsidRPr="005661EC">
              <w:rPr>
                <w:sz w:val="22"/>
                <w:szCs w:val="22"/>
              </w:rPr>
              <w:t xml:space="preserve"> guidelines set out by awarding bodies and where appropriate, the QAA </w:t>
            </w:r>
            <w:r w:rsidR="00AE1984" w:rsidRPr="00F87971">
              <w:rPr>
                <w:sz w:val="22"/>
                <w:szCs w:val="22"/>
              </w:rPr>
              <w:t>Quality Code</w:t>
            </w:r>
            <w:r w:rsidR="00B05F18">
              <w:rPr>
                <w:sz w:val="22"/>
                <w:szCs w:val="22"/>
              </w:rPr>
              <w:t>.</w:t>
            </w:r>
          </w:p>
        </w:tc>
        <w:tc>
          <w:tcPr>
            <w:tcW w:w="1961" w:type="dxa"/>
          </w:tcPr>
          <w:p w:rsidR="009E1645" w:rsidRPr="005661EC" w:rsidRDefault="009E1645">
            <w:pPr>
              <w:pStyle w:val="BodyTextIndent2"/>
              <w:ind w:left="0"/>
              <w:rPr>
                <w:sz w:val="22"/>
                <w:szCs w:val="22"/>
              </w:rPr>
            </w:pPr>
          </w:p>
        </w:tc>
      </w:tr>
      <w:tr w:rsidR="00A62F54" w:rsidRPr="005661EC" w:rsidTr="006D5B58">
        <w:tc>
          <w:tcPr>
            <w:tcW w:w="1818" w:type="dxa"/>
            <w:tcBorders>
              <w:top w:val="single" w:sz="4" w:space="0" w:color="auto"/>
              <w:left w:val="single" w:sz="4" w:space="0" w:color="auto"/>
              <w:bottom w:val="single" w:sz="4" w:space="0" w:color="auto"/>
              <w:right w:val="single" w:sz="4" w:space="0" w:color="auto"/>
            </w:tcBorders>
          </w:tcPr>
          <w:p w:rsidR="00A62F54" w:rsidRPr="005661EC" w:rsidRDefault="00A62F54" w:rsidP="00090F7C">
            <w:pPr>
              <w:pStyle w:val="BodyTextIndent2"/>
              <w:ind w:left="0"/>
              <w:rPr>
                <w:b/>
                <w:bCs/>
                <w:sz w:val="22"/>
                <w:szCs w:val="22"/>
              </w:rPr>
            </w:pPr>
            <w:r>
              <w:rPr>
                <w:b/>
                <w:bCs/>
                <w:sz w:val="22"/>
                <w:szCs w:val="22"/>
              </w:rPr>
              <w:t>Monitoring and Review</w:t>
            </w:r>
          </w:p>
        </w:tc>
        <w:tc>
          <w:tcPr>
            <w:tcW w:w="5543" w:type="dxa"/>
            <w:tcBorders>
              <w:top w:val="single" w:sz="4" w:space="0" w:color="auto"/>
              <w:left w:val="single" w:sz="4" w:space="0" w:color="auto"/>
              <w:bottom w:val="single" w:sz="4" w:space="0" w:color="auto"/>
              <w:right w:val="single" w:sz="4" w:space="0" w:color="auto"/>
            </w:tcBorders>
          </w:tcPr>
          <w:p w:rsidR="00A62F54" w:rsidRPr="005661EC" w:rsidRDefault="00A62F54" w:rsidP="00090F7C">
            <w:pPr>
              <w:pStyle w:val="BodyTextIndent2"/>
              <w:ind w:left="0"/>
              <w:rPr>
                <w:sz w:val="22"/>
                <w:szCs w:val="22"/>
              </w:rPr>
            </w:pPr>
            <w:r>
              <w:rPr>
                <w:sz w:val="22"/>
                <w:szCs w:val="22"/>
              </w:rPr>
              <w:t>The College will regularly monitor and review this policy and its associated procedures to assess the effectiveness of its implementation and outcomes</w:t>
            </w:r>
            <w:r w:rsidR="00B05F18">
              <w:rPr>
                <w:sz w:val="22"/>
                <w:szCs w:val="22"/>
              </w:rPr>
              <w:t>.</w:t>
            </w:r>
          </w:p>
        </w:tc>
        <w:tc>
          <w:tcPr>
            <w:tcW w:w="1961" w:type="dxa"/>
            <w:tcBorders>
              <w:top w:val="single" w:sz="4" w:space="0" w:color="auto"/>
              <w:left w:val="single" w:sz="4" w:space="0" w:color="auto"/>
              <w:bottom w:val="single" w:sz="4" w:space="0" w:color="auto"/>
              <w:right w:val="single" w:sz="4" w:space="0" w:color="auto"/>
            </w:tcBorders>
          </w:tcPr>
          <w:p w:rsidR="00A62F54" w:rsidRDefault="00822A05" w:rsidP="00090F7C">
            <w:pPr>
              <w:pStyle w:val="BodyTextIndent2"/>
              <w:ind w:left="0"/>
              <w:rPr>
                <w:sz w:val="22"/>
                <w:szCs w:val="22"/>
              </w:rPr>
            </w:pPr>
            <w:r>
              <w:rPr>
                <w:sz w:val="22"/>
                <w:szCs w:val="22"/>
              </w:rPr>
              <w:t>Monitoring and Evaluation</w:t>
            </w:r>
          </w:p>
          <w:p w:rsidR="005720BD" w:rsidRPr="005661EC" w:rsidRDefault="005720BD" w:rsidP="00090F7C">
            <w:pPr>
              <w:pStyle w:val="BodyTextIndent2"/>
              <w:ind w:left="0"/>
              <w:rPr>
                <w:sz w:val="22"/>
                <w:szCs w:val="22"/>
              </w:rPr>
            </w:pPr>
            <w:r>
              <w:rPr>
                <w:sz w:val="22"/>
                <w:szCs w:val="22"/>
              </w:rPr>
              <w:t>Common Practice</w:t>
            </w:r>
            <w:bookmarkStart w:id="0" w:name="_GoBack"/>
            <w:bookmarkEnd w:id="0"/>
          </w:p>
        </w:tc>
      </w:tr>
      <w:tr w:rsidR="006D5B58" w:rsidTr="006D5B58">
        <w:tc>
          <w:tcPr>
            <w:tcW w:w="1818" w:type="dxa"/>
            <w:tcBorders>
              <w:top w:val="single" w:sz="4" w:space="0" w:color="auto"/>
              <w:left w:val="single" w:sz="4" w:space="0" w:color="auto"/>
              <w:bottom w:val="single" w:sz="4" w:space="0" w:color="auto"/>
              <w:right w:val="single" w:sz="4" w:space="0" w:color="auto"/>
            </w:tcBorders>
          </w:tcPr>
          <w:p w:rsidR="006D5B58" w:rsidRDefault="006D5B58" w:rsidP="006D5B58">
            <w:pPr>
              <w:pStyle w:val="BodyTextIndent2"/>
              <w:ind w:left="0"/>
              <w:rPr>
                <w:b/>
                <w:bCs/>
                <w:sz w:val="22"/>
                <w:szCs w:val="22"/>
              </w:rPr>
            </w:pPr>
            <w:r>
              <w:rPr>
                <w:b/>
                <w:bCs/>
                <w:sz w:val="22"/>
                <w:szCs w:val="22"/>
              </w:rPr>
              <w:t>Associated Documentation</w:t>
            </w:r>
          </w:p>
        </w:tc>
        <w:tc>
          <w:tcPr>
            <w:tcW w:w="5543" w:type="dxa"/>
            <w:tcBorders>
              <w:top w:val="single" w:sz="4" w:space="0" w:color="auto"/>
              <w:left w:val="single" w:sz="4" w:space="0" w:color="auto"/>
              <w:bottom w:val="single" w:sz="4" w:space="0" w:color="auto"/>
              <w:right w:val="single" w:sz="4" w:space="0" w:color="auto"/>
            </w:tcBorders>
          </w:tcPr>
          <w:p w:rsidR="006D5B58" w:rsidRDefault="006D5B58" w:rsidP="006D5B58">
            <w:pPr>
              <w:pStyle w:val="BodyTextIndent2"/>
              <w:numPr>
                <w:ilvl w:val="0"/>
                <w:numId w:val="17"/>
              </w:numPr>
              <w:rPr>
                <w:sz w:val="22"/>
                <w:szCs w:val="22"/>
              </w:rPr>
            </w:pPr>
            <w:r>
              <w:rPr>
                <w:sz w:val="22"/>
                <w:szCs w:val="22"/>
              </w:rPr>
              <w:t>Student Engagement Procedure</w:t>
            </w:r>
          </w:p>
          <w:p w:rsidR="006D5B58" w:rsidRDefault="006D5B58" w:rsidP="006D5B58">
            <w:pPr>
              <w:pStyle w:val="BodyTextIndent2"/>
              <w:numPr>
                <w:ilvl w:val="0"/>
                <w:numId w:val="17"/>
              </w:numPr>
              <w:rPr>
                <w:sz w:val="22"/>
                <w:szCs w:val="22"/>
              </w:rPr>
            </w:pPr>
            <w:r>
              <w:rPr>
                <w:sz w:val="22"/>
                <w:szCs w:val="22"/>
              </w:rPr>
              <w:t>HE Group Representative Handbook</w:t>
            </w:r>
          </w:p>
          <w:p w:rsidR="006D5B58" w:rsidRDefault="006D5B58" w:rsidP="006D5B58">
            <w:pPr>
              <w:pStyle w:val="BodyTextIndent2"/>
              <w:numPr>
                <w:ilvl w:val="0"/>
                <w:numId w:val="17"/>
              </w:numPr>
              <w:rPr>
                <w:sz w:val="22"/>
                <w:szCs w:val="22"/>
              </w:rPr>
            </w:pPr>
            <w:r>
              <w:rPr>
                <w:sz w:val="22"/>
                <w:szCs w:val="22"/>
              </w:rPr>
              <w:t>A Guide to Quality Assurance</w:t>
            </w:r>
          </w:p>
          <w:p w:rsidR="006D5B58" w:rsidRDefault="006D5B58" w:rsidP="006D5B58">
            <w:pPr>
              <w:pStyle w:val="BodyTextIndent2"/>
              <w:ind w:left="360"/>
              <w:rPr>
                <w:sz w:val="22"/>
                <w:szCs w:val="22"/>
              </w:rPr>
            </w:pPr>
          </w:p>
        </w:tc>
        <w:tc>
          <w:tcPr>
            <w:tcW w:w="1961" w:type="dxa"/>
            <w:tcBorders>
              <w:top w:val="single" w:sz="4" w:space="0" w:color="auto"/>
              <w:left w:val="single" w:sz="4" w:space="0" w:color="auto"/>
              <w:bottom w:val="single" w:sz="4" w:space="0" w:color="auto"/>
              <w:right w:val="single" w:sz="4" w:space="0" w:color="auto"/>
            </w:tcBorders>
          </w:tcPr>
          <w:p w:rsidR="006D5B58" w:rsidRDefault="006D5B58">
            <w:pPr>
              <w:pStyle w:val="BodyTextIndent2"/>
              <w:ind w:left="0"/>
              <w:rPr>
                <w:sz w:val="22"/>
                <w:szCs w:val="22"/>
              </w:rPr>
            </w:pPr>
          </w:p>
        </w:tc>
      </w:tr>
    </w:tbl>
    <w:p w:rsidR="00A62F54" w:rsidRPr="00A62F54" w:rsidRDefault="00A62F54" w:rsidP="00A62F54">
      <w:pPr>
        <w:rPr>
          <w:lang w:eastAsia="en-GB"/>
        </w:rPr>
      </w:pPr>
    </w:p>
    <w:sectPr w:rsidR="00A62F54" w:rsidRPr="00A62F54" w:rsidSect="004B39B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A05" w:rsidRDefault="00822A05" w:rsidP="00ED4CB6">
      <w:r>
        <w:separator/>
      </w:r>
    </w:p>
  </w:endnote>
  <w:endnote w:type="continuationSeparator" w:id="0">
    <w:p w:rsidR="00822A05" w:rsidRDefault="00822A05" w:rsidP="00ED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A05" w:rsidRPr="0037121D" w:rsidRDefault="00822A05">
    <w:pPr>
      <w:pStyle w:val="Footer"/>
      <w:rPr>
        <w:sz w:val="16"/>
        <w:szCs w:val="16"/>
      </w:rPr>
    </w:pPr>
    <w:r>
      <w:rPr>
        <w:sz w:val="16"/>
        <w:szCs w:val="16"/>
      </w:rPr>
      <w:t>Version 2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A05" w:rsidRDefault="00822A05" w:rsidP="00ED4CB6">
      <w:r>
        <w:separator/>
      </w:r>
    </w:p>
  </w:footnote>
  <w:footnote w:type="continuationSeparator" w:id="0">
    <w:p w:rsidR="00822A05" w:rsidRDefault="00822A05" w:rsidP="00ED4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5A1C"/>
    <w:multiLevelType w:val="hybridMultilevel"/>
    <w:tmpl w:val="4326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C097E"/>
    <w:multiLevelType w:val="hybridMultilevel"/>
    <w:tmpl w:val="C40EF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872BCE"/>
    <w:multiLevelType w:val="hybridMultilevel"/>
    <w:tmpl w:val="639844F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BF243F9"/>
    <w:multiLevelType w:val="hybridMultilevel"/>
    <w:tmpl w:val="B004339E"/>
    <w:lvl w:ilvl="0" w:tplc="D2FCCF10">
      <w:start w:val="1"/>
      <w:numFmt w:val="bullet"/>
      <w:lvlText w:val=""/>
      <w:lvlJc w:val="left"/>
      <w:pPr>
        <w:ind w:left="720" w:hanging="360"/>
      </w:pPr>
      <w:rPr>
        <w:rFonts w:ascii="Wingdings" w:hAnsi="Wingdings"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671BB"/>
    <w:multiLevelType w:val="hybridMultilevel"/>
    <w:tmpl w:val="AB4C2080"/>
    <w:lvl w:ilvl="0" w:tplc="D2FCCF10">
      <w:start w:val="1"/>
      <w:numFmt w:val="bullet"/>
      <w:lvlText w:val=""/>
      <w:lvlJc w:val="left"/>
      <w:pPr>
        <w:ind w:left="720" w:hanging="360"/>
      </w:pPr>
      <w:rPr>
        <w:rFonts w:ascii="Wingdings" w:hAnsi="Wingdings"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130B7"/>
    <w:multiLevelType w:val="hybridMultilevel"/>
    <w:tmpl w:val="1DDE1E4A"/>
    <w:lvl w:ilvl="0" w:tplc="D2FCCF10">
      <w:start w:val="1"/>
      <w:numFmt w:val="bullet"/>
      <w:lvlText w:val=""/>
      <w:lvlJc w:val="left"/>
      <w:pPr>
        <w:tabs>
          <w:tab w:val="num" w:pos="471"/>
        </w:tabs>
        <w:ind w:left="471" w:hanging="471"/>
      </w:pPr>
      <w:rPr>
        <w:rFonts w:ascii="Wingdings" w:hAnsi="Wingdings"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0F0284"/>
    <w:multiLevelType w:val="hybridMultilevel"/>
    <w:tmpl w:val="77102B6C"/>
    <w:lvl w:ilvl="0" w:tplc="D2FCCF10">
      <w:start w:val="1"/>
      <w:numFmt w:val="bullet"/>
      <w:lvlText w:val=""/>
      <w:lvlJc w:val="left"/>
      <w:pPr>
        <w:ind w:left="720" w:hanging="360"/>
      </w:pPr>
      <w:rPr>
        <w:rFonts w:ascii="Wingdings" w:hAnsi="Wingdings"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802C4"/>
    <w:multiLevelType w:val="hybridMultilevel"/>
    <w:tmpl w:val="7DFCB86E"/>
    <w:lvl w:ilvl="0" w:tplc="D2FCCF10">
      <w:start w:val="1"/>
      <w:numFmt w:val="bullet"/>
      <w:lvlText w:val=""/>
      <w:lvlJc w:val="left"/>
      <w:pPr>
        <w:tabs>
          <w:tab w:val="num" w:pos="471"/>
        </w:tabs>
        <w:ind w:left="471" w:hanging="471"/>
      </w:pPr>
      <w:rPr>
        <w:rFonts w:ascii="Wingdings" w:hAnsi="Wingdings"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E067F0"/>
    <w:multiLevelType w:val="hybridMultilevel"/>
    <w:tmpl w:val="853E1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64128"/>
    <w:multiLevelType w:val="hybridMultilevel"/>
    <w:tmpl w:val="A0927B24"/>
    <w:lvl w:ilvl="0" w:tplc="D2FCCF10">
      <w:start w:val="1"/>
      <w:numFmt w:val="bullet"/>
      <w:lvlText w:val=""/>
      <w:lvlJc w:val="left"/>
      <w:pPr>
        <w:tabs>
          <w:tab w:val="num" w:pos="471"/>
        </w:tabs>
        <w:ind w:left="471" w:hanging="471"/>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087848"/>
    <w:multiLevelType w:val="hybridMultilevel"/>
    <w:tmpl w:val="69D2F600"/>
    <w:lvl w:ilvl="0" w:tplc="D2FCCF10">
      <w:start w:val="1"/>
      <w:numFmt w:val="bullet"/>
      <w:lvlText w:val=""/>
      <w:lvlJc w:val="left"/>
      <w:pPr>
        <w:tabs>
          <w:tab w:val="num" w:pos="1191"/>
        </w:tabs>
        <w:ind w:left="1191" w:hanging="471"/>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67D65A1"/>
    <w:multiLevelType w:val="hybridMultilevel"/>
    <w:tmpl w:val="23C48FE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6F561D1"/>
    <w:multiLevelType w:val="hybridMultilevel"/>
    <w:tmpl w:val="A14EC10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15:restartNumberingAfterBreak="0">
    <w:nsid w:val="578B4B0B"/>
    <w:multiLevelType w:val="hybridMultilevel"/>
    <w:tmpl w:val="51DCE6F2"/>
    <w:lvl w:ilvl="0" w:tplc="0409000F">
      <w:start w:val="1"/>
      <w:numFmt w:val="decimal"/>
      <w:pStyle w:val="SubHeading"/>
      <w:lvlText w:val="%1."/>
      <w:lvlJc w:val="left"/>
      <w:pPr>
        <w:tabs>
          <w:tab w:val="num" w:pos="360"/>
        </w:tabs>
        <w:ind w:left="360" w:hanging="360"/>
      </w:pPr>
    </w:lvl>
    <w:lvl w:ilvl="1" w:tplc="D2FCCF10">
      <w:start w:val="1"/>
      <w:numFmt w:val="bullet"/>
      <w:lvlText w:val=""/>
      <w:lvlJc w:val="left"/>
      <w:pPr>
        <w:tabs>
          <w:tab w:val="num" w:pos="1191"/>
        </w:tabs>
        <w:ind w:left="1191" w:hanging="471"/>
      </w:pPr>
      <w:rPr>
        <w:rFonts w:ascii="Wingdings" w:hAnsi="Wingdings"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4B95D79"/>
    <w:multiLevelType w:val="hybridMultilevel"/>
    <w:tmpl w:val="8D6000F0"/>
    <w:lvl w:ilvl="0" w:tplc="08090001">
      <w:start w:val="1"/>
      <w:numFmt w:val="bullet"/>
      <w:lvlText w:val=""/>
      <w:lvlJc w:val="left"/>
      <w:pPr>
        <w:tabs>
          <w:tab w:val="num" w:pos="360"/>
        </w:tabs>
        <w:ind w:left="360" w:hanging="360"/>
      </w:pPr>
      <w:rPr>
        <w:rFonts w:ascii="Symbol" w:hAnsi="Symbol" w:hint="default"/>
      </w:rPr>
    </w:lvl>
    <w:lvl w:ilvl="1" w:tplc="D2FCCF10">
      <w:start w:val="1"/>
      <w:numFmt w:val="bullet"/>
      <w:lvlText w:val=""/>
      <w:lvlJc w:val="left"/>
      <w:pPr>
        <w:tabs>
          <w:tab w:val="num" w:pos="1191"/>
        </w:tabs>
        <w:ind w:left="1191" w:hanging="471"/>
      </w:pPr>
      <w:rPr>
        <w:rFonts w:ascii="Wingdings" w:hAnsi="Wingdings" w:hint="default"/>
        <w:sz w:val="16"/>
      </w:rPr>
    </w:lvl>
    <w:lvl w:ilvl="2" w:tplc="1CEAB8D8">
      <w:start w:val="1"/>
      <w:numFmt w:val="decimal"/>
      <w:lvlText w:val="%3."/>
      <w:lvlJc w:val="left"/>
      <w:pPr>
        <w:tabs>
          <w:tab w:val="num" w:pos="1837"/>
        </w:tabs>
        <w:ind w:left="1837" w:hanging="397"/>
      </w:pPr>
      <w:rPr>
        <w:rFont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EB96EDA"/>
    <w:multiLevelType w:val="hybridMultilevel"/>
    <w:tmpl w:val="F3A6CE0E"/>
    <w:lvl w:ilvl="0" w:tplc="D2FCCF10">
      <w:start w:val="1"/>
      <w:numFmt w:val="bullet"/>
      <w:lvlText w:val=""/>
      <w:lvlJc w:val="left"/>
      <w:pPr>
        <w:tabs>
          <w:tab w:val="num" w:pos="942"/>
        </w:tabs>
        <w:ind w:left="942" w:hanging="471"/>
      </w:pPr>
      <w:rPr>
        <w:rFonts w:ascii="Wingdings" w:hAnsi="Wingdings" w:hint="default"/>
        <w:sz w:val="16"/>
      </w:rPr>
    </w:lvl>
    <w:lvl w:ilvl="1" w:tplc="04090003" w:tentative="1">
      <w:start w:val="1"/>
      <w:numFmt w:val="bullet"/>
      <w:lvlText w:val="o"/>
      <w:lvlJc w:val="left"/>
      <w:pPr>
        <w:tabs>
          <w:tab w:val="num" w:pos="1911"/>
        </w:tabs>
        <w:ind w:left="1911" w:hanging="360"/>
      </w:pPr>
      <w:rPr>
        <w:rFonts w:ascii="Courier New" w:hAnsi="Courier New" w:hint="default"/>
      </w:rPr>
    </w:lvl>
    <w:lvl w:ilvl="2" w:tplc="04090005" w:tentative="1">
      <w:start w:val="1"/>
      <w:numFmt w:val="bullet"/>
      <w:lvlText w:val=""/>
      <w:lvlJc w:val="left"/>
      <w:pPr>
        <w:tabs>
          <w:tab w:val="num" w:pos="2631"/>
        </w:tabs>
        <w:ind w:left="2631" w:hanging="360"/>
      </w:pPr>
      <w:rPr>
        <w:rFonts w:ascii="Wingdings" w:hAnsi="Wingdings" w:hint="default"/>
      </w:rPr>
    </w:lvl>
    <w:lvl w:ilvl="3" w:tplc="04090001" w:tentative="1">
      <w:start w:val="1"/>
      <w:numFmt w:val="bullet"/>
      <w:lvlText w:val=""/>
      <w:lvlJc w:val="left"/>
      <w:pPr>
        <w:tabs>
          <w:tab w:val="num" w:pos="3351"/>
        </w:tabs>
        <w:ind w:left="3351" w:hanging="360"/>
      </w:pPr>
      <w:rPr>
        <w:rFonts w:ascii="Symbol" w:hAnsi="Symbol" w:hint="default"/>
      </w:rPr>
    </w:lvl>
    <w:lvl w:ilvl="4" w:tplc="04090003" w:tentative="1">
      <w:start w:val="1"/>
      <w:numFmt w:val="bullet"/>
      <w:lvlText w:val="o"/>
      <w:lvlJc w:val="left"/>
      <w:pPr>
        <w:tabs>
          <w:tab w:val="num" w:pos="4071"/>
        </w:tabs>
        <w:ind w:left="4071" w:hanging="360"/>
      </w:pPr>
      <w:rPr>
        <w:rFonts w:ascii="Courier New" w:hAnsi="Courier New" w:hint="default"/>
      </w:rPr>
    </w:lvl>
    <w:lvl w:ilvl="5" w:tplc="04090005" w:tentative="1">
      <w:start w:val="1"/>
      <w:numFmt w:val="bullet"/>
      <w:lvlText w:val=""/>
      <w:lvlJc w:val="left"/>
      <w:pPr>
        <w:tabs>
          <w:tab w:val="num" w:pos="4791"/>
        </w:tabs>
        <w:ind w:left="4791" w:hanging="360"/>
      </w:pPr>
      <w:rPr>
        <w:rFonts w:ascii="Wingdings" w:hAnsi="Wingdings" w:hint="default"/>
      </w:rPr>
    </w:lvl>
    <w:lvl w:ilvl="6" w:tplc="04090001" w:tentative="1">
      <w:start w:val="1"/>
      <w:numFmt w:val="bullet"/>
      <w:lvlText w:val=""/>
      <w:lvlJc w:val="left"/>
      <w:pPr>
        <w:tabs>
          <w:tab w:val="num" w:pos="5511"/>
        </w:tabs>
        <w:ind w:left="5511" w:hanging="360"/>
      </w:pPr>
      <w:rPr>
        <w:rFonts w:ascii="Symbol" w:hAnsi="Symbol" w:hint="default"/>
      </w:rPr>
    </w:lvl>
    <w:lvl w:ilvl="7" w:tplc="04090003" w:tentative="1">
      <w:start w:val="1"/>
      <w:numFmt w:val="bullet"/>
      <w:lvlText w:val="o"/>
      <w:lvlJc w:val="left"/>
      <w:pPr>
        <w:tabs>
          <w:tab w:val="num" w:pos="6231"/>
        </w:tabs>
        <w:ind w:left="6231" w:hanging="360"/>
      </w:pPr>
      <w:rPr>
        <w:rFonts w:ascii="Courier New" w:hAnsi="Courier New" w:hint="default"/>
      </w:rPr>
    </w:lvl>
    <w:lvl w:ilvl="8" w:tplc="04090005" w:tentative="1">
      <w:start w:val="1"/>
      <w:numFmt w:val="bullet"/>
      <w:lvlText w:val=""/>
      <w:lvlJc w:val="left"/>
      <w:pPr>
        <w:tabs>
          <w:tab w:val="num" w:pos="6951"/>
        </w:tabs>
        <w:ind w:left="6951" w:hanging="360"/>
      </w:pPr>
      <w:rPr>
        <w:rFonts w:ascii="Wingdings" w:hAnsi="Wingdings" w:hint="default"/>
      </w:rPr>
    </w:lvl>
  </w:abstractNum>
  <w:abstractNum w:abstractNumId="16" w15:restartNumberingAfterBreak="0">
    <w:nsid w:val="7B9275B4"/>
    <w:multiLevelType w:val="hybridMultilevel"/>
    <w:tmpl w:val="B3C2B31C"/>
    <w:lvl w:ilvl="0" w:tplc="D2FCCF10">
      <w:start w:val="1"/>
      <w:numFmt w:val="bullet"/>
      <w:lvlText w:val=""/>
      <w:lvlJc w:val="left"/>
      <w:pPr>
        <w:tabs>
          <w:tab w:val="num" w:pos="1191"/>
        </w:tabs>
        <w:ind w:left="1191" w:hanging="471"/>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10"/>
  </w:num>
  <w:num w:numId="3">
    <w:abstractNumId w:val="5"/>
  </w:num>
  <w:num w:numId="4">
    <w:abstractNumId w:val="14"/>
  </w:num>
  <w:num w:numId="5">
    <w:abstractNumId w:val="16"/>
  </w:num>
  <w:num w:numId="6">
    <w:abstractNumId w:val="15"/>
  </w:num>
  <w:num w:numId="7">
    <w:abstractNumId w:val="7"/>
  </w:num>
  <w:num w:numId="8">
    <w:abstractNumId w:val="1"/>
  </w:num>
  <w:num w:numId="9">
    <w:abstractNumId w:val="0"/>
  </w:num>
  <w:num w:numId="10">
    <w:abstractNumId w:val="9"/>
  </w:num>
  <w:num w:numId="11">
    <w:abstractNumId w:val="11"/>
  </w:num>
  <w:num w:numId="12">
    <w:abstractNumId w:val="12"/>
  </w:num>
  <w:num w:numId="13">
    <w:abstractNumId w:val="6"/>
  </w:num>
  <w:num w:numId="14">
    <w:abstractNumId w:val="4"/>
  </w:num>
  <w:num w:numId="15">
    <w:abstractNumId w:val="3"/>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CC"/>
    <w:rsid w:val="00090F7C"/>
    <w:rsid w:val="00094909"/>
    <w:rsid w:val="000C228B"/>
    <w:rsid w:val="000C5672"/>
    <w:rsid w:val="0012060E"/>
    <w:rsid w:val="00123646"/>
    <w:rsid w:val="00132791"/>
    <w:rsid w:val="00150D5F"/>
    <w:rsid w:val="00152F05"/>
    <w:rsid w:val="00174210"/>
    <w:rsid w:val="00175C66"/>
    <w:rsid w:val="0019061E"/>
    <w:rsid w:val="001C4800"/>
    <w:rsid w:val="002266E3"/>
    <w:rsid w:val="00237784"/>
    <w:rsid w:val="00250327"/>
    <w:rsid w:val="00266369"/>
    <w:rsid w:val="002D362E"/>
    <w:rsid w:val="002E16D4"/>
    <w:rsid w:val="003129CD"/>
    <w:rsid w:val="0034601D"/>
    <w:rsid w:val="0035237F"/>
    <w:rsid w:val="00370E7D"/>
    <w:rsid w:val="0037121D"/>
    <w:rsid w:val="003B0C89"/>
    <w:rsid w:val="00430E63"/>
    <w:rsid w:val="00470085"/>
    <w:rsid w:val="004B1B2E"/>
    <w:rsid w:val="004B39B4"/>
    <w:rsid w:val="004D5663"/>
    <w:rsid w:val="005103F1"/>
    <w:rsid w:val="0051345C"/>
    <w:rsid w:val="00526641"/>
    <w:rsid w:val="00533171"/>
    <w:rsid w:val="00555116"/>
    <w:rsid w:val="005661EC"/>
    <w:rsid w:val="005720BD"/>
    <w:rsid w:val="00657C40"/>
    <w:rsid w:val="0068771F"/>
    <w:rsid w:val="006C0DF6"/>
    <w:rsid w:val="006C54AB"/>
    <w:rsid w:val="006D5B58"/>
    <w:rsid w:val="006E729F"/>
    <w:rsid w:val="006F5439"/>
    <w:rsid w:val="00701868"/>
    <w:rsid w:val="007118C5"/>
    <w:rsid w:val="0072771D"/>
    <w:rsid w:val="00747301"/>
    <w:rsid w:val="0075713E"/>
    <w:rsid w:val="00793365"/>
    <w:rsid w:val="007A4EC3"/>
    <w:rsid w:val="007D7184"/>
    <w:rsid w:val="007E3F1B"/>
    <w:rsid w:val="0080229C"/>
    <w:rsid w:val="00822A05"/>
    <w:rsid w:val="008301CC"/>
    <w:rsid w:val="00863D79"/>
    <w:rsid w:val="0087240B"/>
    <w:rsid w:val="00876783"/>
    <w:rsid w:val="008820AB"/>
    <w:rsid w:val="0098697D"/>
    <w:rsid w:val="009B24C4"/>
    <w:rsid w:val="009E1645"/>
    <w:rsid w:val="00A53D95"/>
    <w:rsid w:val="00A618C0"/>
    <w:rsid w:val="00A62F54"/>
    <w:rsid w:val="00A93E09"/>
    <w:rsid w:val="00AE1984"/>
    <w:rsid w:val="00B02807"/>
    <w:rsid w:val="00B05F18"/>
    <w:rsid w:val="00B660F7"/>
    <w:rsid w:val="00B85423"/>
    <w:rsid w:val="00B96955"/>
    <w:rsid w:val="00BD3739"/>
    <w:rsid w:val="00BE22FC"/>
    <w:rsid w:val="00C442A5"/>
    <w:rsid w:val="00C56C02"/>
    <w:rsid w:val="00CA06C9"/>
    <w:rsid w:val="00D26FFE"/>
    <w:rsid w:val="00D64F2A"/>
    <w:rsid w:val="00D748D5"/>
    <w:rsid w:val="00D87319"/>
    <w:rsid w:val="00DD1382"/>
    <w:rsid w:val="00E44441"/>
    <w:rsid w:val="00ED4CB6"/>
    <w:rsid w:val="00ED69FB"/>
    <w:rsid w:val="00F67CBE"/>
    <w:rsid w:val="00F85B19"/>
    <w:rsid w:val="00F87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3A190612"/>
  <w15:docId w15:val="{3F63042F-66AB-414B-839C-295FDD4B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2A5"/>
    <w:rPr>
      <w:rFonts w:ascii="Arial" w:hAnsi="Arial"/>
      <w:sz w:val="24"/>
      <w:szCs w:val="24"/>
      <w:lang w:eastAsia="en-US"/>
    </w:rPr>
  </w:style>
  <w:style w:type="paragraph" w:styleId="Heading2">
    <w:name w:val="heading 2"/>
    <w:basedOn w:val="Normal"/>
    <w:next w:val="Normal"/>
    <w:qFormat/>
    <w:rsid w:val="00C442A5"/>
    <w:pPr>
      <w:keepNext/>
      <w:spacing w:before="240" w:after="60"/>
      <w:outlineLvl w:val="1"/>
    </w:pPr>
    <w:rPr>
      <w:rFonts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442A5"/>
    <w:pPr>
      <w:spacing w:before="120" w:after="120"/>
      <w:ind w:left="1080"/>
    </w:pPr>
    <w:rPr>
      <w:rFonts w:cs="Arial"/>
      <w:lang w:eastAsia="en-GB"/>
    </w:rPr>
  </w:style>
  <w:style w:type="paragraph" w:styleId="BodyTextIndent">
    <w:name w:val="Body Text Indent"/>
    <w:basedOn w:val="Normal"/>
    <w:rsid w:val="00C442A5"/>
    <w:pPr>
      <w:spacing w:before="120" w:after="120"/>
      <w:ind w:left="720"/>
    </w:pPr>
    <w:rPr>
      <w:lang w:eastAsia="en-GB"/>
    </w:rPr>
  </w:style>
  <w:style w:type="paragraph" w:styleId="BodyTextIndent3">
    <w:name w:val="Body Text Indent 3"/>
    <w:basedOn w:val="Normal"/>
    <w:rsid w:val="00C442A5"/>
    <w:pPr>
      <w:tabs>
        <w:tab w:val="left" w:pos="360"/>
      </w:tabs>
      <w:spacing w:before="120" w:after="120"/>
      <w:ind w:left="360"/>
    </w:pPr>
    <w:rPr>
      <w:rFonts w:cs="Arial"/>
      <w:lang w:eastAsia="en-GB"/>
    </w:rPr>
  </w:style>
  <w:style w:type="paragraph" w:customStyle="1" w:styleId="ISEDbodytext">
    <w:name w:val="ISED body text"/>
    <w:basedOn w:val="BodyText"/>
    <w:rsid w:val="00C442A5"/>
    <w:pPr>
      <w:tabs>
        <w:tab w:val="left" w:pos="-284"/>
      </w:tabs>
    </w:pPr>
    <w:rPr>
      <w:color w:val="000000"/>
      <w:sz w:val="22"/>
      <w:szCs w:val="20"/>
    </w:rPr>
  </w:style>
  <w:style w:type="paragraph" w:styleId="BodyText">
    <w:name w:val="Body Text"/>
    <w:basedOn w:val="Normal"/>
    <w:rsid w:val="00C442A5"/>
    <w:pPr>
      <w:spacing w:after="120"/>
    </w:pPr>
  </w:style>
  <w:style w:type="character" w:styleId="Strong">
    <w:name w:val="Strong"/>
    <w:basedOn w:val="DefaultParagraphFont"/>
    <w:qFormat/>
    <w:rsid w:val="00C442A5"/>
    <w:rPr>
      <w:b/>
      <w:bCs/>
    </w:rPr>
  </w:style>
  <w:style w:type="paragraph" w:customStyle="1" w:styleId="SubHeading">
    <w:name w:val="SubHeading"/>
    <w:basedOn w:val="Normal"/>
    <w:rsid w:val="00C442A5"/>
    <w:pPr>
      <w:numPr>
        <w:numId w:val="1"/>
      </w:numPr>
      <w:spacing w:before="240" w:after="400"/>
    </w:pPr>
    <w:rPr>
      <w:rFonts w:ascii="Times New Roman" w:hAnsi="Times New Roman"/>
      <w:b/>
      <w:sz w:val="40"/>
      <w:szCs w:val="20"/>
      <w:lang w:eastAsia="en-GB"/>
    </w:rPr>
  </w:style>
  <w:style w:type="paragraph" w:styleId="BalloonText">
    <w:name w:val="Balloon Text"/>
    <w:basedOn w:val="Normal"/>
    <w:semiHidden/>
    <w:rsid w:val="00533171"/>
    <w:rPr>
      <w:rFonts w:ascii="Tahoma" w:hAnsi="Tahoma" w:cs="Tahoma"/>
      <w:sz w:val="16"/>
      <w:szCs w:val="16"/>
    </w:rPr>
  </w:style>
  <w:style w:type="paragraph" w:styleId="ListParagraph">
    <w:name w:val="List Paragraph"/>
    <w:basedOn w:val="Normal"/>
    <w:uiPriority w:val="34"/>
    <w:qFormat/>
    <w:rsid w:val="00266369"/>
    <w:pPr>
      <w:ind w:left="720"/>
      <w:contextualSpacing/>
    </w:pPr>
  </w:style>
  <w:style w:type="paragraph" w:customStyle="1" w:styleId="Default">
    <w:name w:val="Default"/>
    <w:rsid w:val="00266369"/>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7E3F1B"/>
    <w:rPr>
      <w:sz w:val="16"/>
      <w:szCs w:val="16"/>
    </w:rPr>
  </w:style>
  <w:style w:type="paragraph" w:styleId="CommentText">
    <w:name w:val="annotation text"/>
    <w:basedOn w:val="Normal"/>
    <w:link w:val="CommentTextChar"/>
    <w:rsid w:val="007E3F1B"/>
    <w:rPr>
      <w:sz w:val="20"/>
      <w:szCs w:val="20"/>
    </w:rPr>
  </w:style>
  <w:style w:type="character" w:customStyle="1" w:styleId="CommentTextChar">
    <w:name w:val="Comment Text Char"/>
    <w:basedOn w:val="DefaultParagraphFont"/>
    <w:link w:val="CommentText"/>
    <w:rsid w:val="007E3F1B"/>
    <w:rPr>
      <w:rFonts w:ascii="Arial" w:hAnsi="Arial"/>
      <w:lang w:eastAsia="en-US"/>
    </w:rPr>
  </w:style>
  <w:style w:type="paragraph" w:styleId="CommentSubject">
    <w:name w:val="annotation subject"/>
    <w:basedOn w:val="CommentText"/>
    <w:next w:val="CommentText"/>
    <w:link w:val="CommentSubjectChar"/>
    <w:rsid w:val="007E3F1B"/>
    <w:rPr>
      <w:b/>
      <w:bCs/>
    </w:rPr>
  </w:style>
  <w:style w:type="character" w:customStyle="1" w:styleId="CommentSubjectChar">
    <w:name w:val="Comment Subject Char"/>
    <w:basedOn w:val="CommentTextChar"/>
    <w:link w:val="CommentSubject"/>
    <w:rsid w:val="007E3F1B"/>
    <w:rPr>
      <w:rFonts w:ascii="Arial" w:hAnsi="Arial"/>
      <w:b/>
      <w:bCs/>
      <w:lang w:eastAsia="en-US"/>
    </w:rPr>
  </w:style>
  <w:style w:type="paragraph" w:styleId="Header">
    <w:name w:val="header"/>
    <w:basedOn w:val="Normal"/>
    <w:link w:val="HeaderChar"/>
    <w:rsid w:val="00ED4CB6"/>
    <w:pPr>
      <w:tabs>
        <w:tab w:val="center" w:pos="4513"/>
        <w:tab w:val="right" w:pos="9026"/>
      </w:tabs>
    </w:pPr>
  </w:style>
  <w:style w:type="character" w:customStyle="1" w:styleId="HeaderChar">
    <w:name w:val="Header Char"/>
    <w:basedOn w:val="DefaultParagraphFont"/>
    <w:link w:val="Header"/>
    <w:rsid w:val="00ED4CB6"/>
    <w:rPr>
      <w:rFonts w:ascii="Arial" w:hAnsi="Arial"/>
      <w:sz w:val="24"/>
      <w:szCs w:val="24"/>
      <w:lang w:eastAsia="en-US"/>
    </w:rPr>
  </w:style>
  <w:style w:type="paragraph" w:styleId="Footer">
    <w:name w:val="footer"/>
    <w:basedOn w:val="Normal"/>
    <w:link w:val="FooterChar"/>
    <w:rsid w:val="00ED4CB6"/>
    <w:pPr>
      <w:tabs>
        <w:tab w:val="center" w:pos="4513"/>
        <w:tab w:val="right" w:pos="9026"/>
      </w:tabs>
    </w:pPr>
  </w:style>
  <w:style w:type="character" w:customStyle="1" w:styleId="FooterChar">
    <w:name w:val="Footer Char"/>
    <w:basedOn w:val="DefaultParagraphFont"/>
    <w:link w:val="Footer"/>
    <w:rsid w:val="00ED4CB6"/>
    <w:rPr>
      <w:rFonts w:ascii="Arial" w:hAnsi="Arial"/>
      <w:sz w:val="24"/>
      <w:szCs w:val="24"/>
      <w:lang w:eastAsia="en-US"/>
    </w:rPr>
  </w:style>
  <w:style w:type="character" w:customStyle="1" w:styleId="BodyTextIndent2Char">
    <w:name w:val="Body Text Indent 2 Char"/>
    <w:basedOn w:val="DefaultParagraphFont"/>
    <w:link w:val="BodyTextIndent2"/>
    <w:rsid w:val="006D5B5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1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1041</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Park Lane College</vt:lpstr>
    </vt:vector>
  </TitlesOfParts>
  <Company>Hewlett-Packard Company</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Lane College</dc:title>
  <dc:creator>user</dc:creator>
  <cp:lastModifiedBy>Sarah Wilson</cp:lastModifiedBy>
  <cp:revision>2</cp:revision>
  <cp:lastPrinted>2019-08-19T15:05:00Z</cp:lastPrinted>
  <dcterms:created xsi:type="dcterms:W3CDTF">2019-08-19T15:05:00Z</dcterms:created>
  <dcterms:modified xsi:type="dcterms:W3CDTF">2019-08-19T15:05:00Z</dcterms:modified>
</cp:coreProperties>
</file>