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641" w:rsidRDefault="00F72AE3">
      <w:pPr>
        <w:tabs>
          <w:tab w:val="left" w:pos="720"/>
        </w:tabs>
        <w:autoSpaceDE w:val="0"/>
        <w:autoSpaceDN w:val="0"/>
        <w:adjustRightInd w:val="0"/>
        <w:jc w:val="both"/>
        <w:rPr>
          <w:rFonts w:cs="Arial"/>
          <w:b/>
        </w:rPr>
      </w:pPr>
      <w:r w:rsidRPr="00F72AE3">
        <w:rPr>
          <w:rFonts w:cs="Arial"/>
          <w:b/>
          <w:noProof/>
          <w:lang w:eastAsia="en-GB"/>
        </w:rPr>
        <w:drawing>
          <wp:inline distT="0" distB="0" distL="0" distR="0">
            <wp:extent cx="2162175" cy="695325"/>
            <wp:effectExtent l="0" t="0" r="9525" b="9525"/>
            <wp:docPr id="2" name="Picture 2" descr="C:\Inettemp\s.wilson\Cache\Content.Outlook\W6ZTMV2I\UC Corporate 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ettemp\s.wilson\Cache\Content.Outlook\W6ZTMV2I\UC Corporate Logo_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695325"/>
                    </a:xfrm>
                    <a:prstGeom prst="rect">
                      <a:avLst/>
                    </a:prstGeom>
                    <a:noFill/>
                    <a:ln>
                      <a:noFill/>
                    </a:ln>
                  </pic:spPr>
                </pic:pic>
              </a:graphicData>
            </a:graphic>
          </wp:inline>
        </w:drawing>
      </w: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Pr="00526641" w:rsidRDefault="00526641">
      <w:pPr>
        <w:tabs>
          <w:tab w:val="left" w:pos="720"/>
        </w:tabs>
        <w:autoSpaceDE w:val="0"/>
        <w:autoSpaceDN w:val="0"/>
        <w:adjustRightInd w:val="0"/>
        <w:jc w:val="both"/>
        <w:rPr>
          <w:rFonts w:cs="Arial"/>
          <w:b/>
          <w:sz w:val="28"/>
          <w:szCs w:val="28"/>
        </w:rPr>
      </w:pPr>
      <w:r>
        <w:rPr>
          <w:rFonts w:cs="Arial"/>
          <w:b/>
          <w:sz w:val="28"/>
          <w:szCs w:val="28"/>
        </w:rPr>
        <w:t xml:space="preserve"> </w:t>
      </w:r>
    </w:p>
    <w:p w:rsidR="00526641" w:rsidRPr="00526641" w:rsidRDefault="00526641">
      <w:pPr>
        <w:tabs>
          <w:tab w:val="left" w:pos="720"/>
        </w:tabs>
        <w:autoSpaceDE w:val="0"/>
        <w:autoSpaceDN w:val="0"/>
        <w:adjustRightInd w:val="0"/>
        <w:jc w:val="both"/>
        <w:rPr>
          <w:rFonts w:cs="Arial"/>
          <w:b/>
          <w:sz w:val="28"/>
          <w:szCs w:val="28"/>
        </w:rPr>
      </w:pPr>
    </w:p>
    <w:p w:rsidR="00526641" w:rsidRDefault="00526641">
      <w:pPr>
        <w:tabs>
          <w:tab w:val="left" w:pos="720"/>
        </w:tabs>
        <w:autoSpaceDE w:val="0"/>
        <w:autoSpaceDN w:val="0"/>
        <w:adjustRightInd w:val="0"/>
        <w:jc w:val="both"/>
        <w:rPr>
          <w:rFonts w:cs="Arial"/>
          <w:b/>
          <w:sz w:val="28"/>
          <w:szCs w:val="28"/>
        </w:rPr>
      </w:pPr>
    </w:p>
    <w:p w:rsidR="00526641" w:rsidRPr="00526641" w:rsidRDefault="00526641">
      <w:pPr>
        <w:tabs>
          <w:tab w:val="left" w:pos="720"/>
        </w:tabs>
        <w:autoSpaceDE w:val="0"/>
        <w:autoSpaceDN w:val="0"/>
        <w:adjustRightInd w:val="0"/>
        <w:jc w:val="both"/>
        <w:rPr>
          <w:rFonts w:cs="Arial"/>
          <w:b/>
          <w:sz w:val="28"/>
          <w:szCs w:val="28"/>
        </w:rPr>
      </w:pPr>
    </w:p>
    <w:p w:rsidR="00526641" w:rsidRPr="00526641" w:rsidRDefault="00526641">
      <w:pPr>
        <w:tabs>
          <w:tab w:val="left" w:pos="720"/>
        </w:tabs>
        <w:autoSpaceDE w:val="0"/>
        <w:autoSpaceDN w:val="0"/>
        <w:adjustRightInd w:val="0"/>
        <w:jc w:val="both"/>
        <w:rPr>
          <w:rFonts w:cs="Arial"/>
          <w:b/>
          <w:sz w:val="28"/>
          <w:szCs w:val="28"/>
        </w:rPr>
      </w:pPr>
    </w:p>
    <w:p w:rsidR="009E1645" w:rsidRDefault="00A53D95">
      <w:pPr>
        <w:tabs>
          <w:tab w:val="left" w:pos="720"/>
        </w:tabs>
        <w:autoSpaceDE w:val="0"/>
        <w:autoSpaceDN w:val="0"/>
        <w:adjustRightInd w:val="0"/>
        <w:jc w:val="both"/>
        <w:rPr>
          <w:rFonts w:cs="Arial"/>
          <w:b/>
          <w:sz w:val="28"/>
          <w:szCs w:val="28"/>
        </w:rPr>
      </w:pPr>
      <w:smartTag w:uri="urn:schemas-microsoft-com:office:smarttags" w:element="place">
        <w:smartTag w:uri="urn:schemas-microsoft-com:office:smarttags" w:element="PlaceName">
          <w:r>
            <w:rPr>
              <w:rFonts w:cs="Arial"/>
              <w:b/>
              <w:sz w:val="28"/>
              <w:szCs w:val="28"/>
            </w:rPr>
            <w:t>Leeds</w:t>
          </w:r>
        </w:smartTag>
        <w:r>
          <w:rPr>
            <w:rFonts w:cs="Arial"/>
            <w:b/>
            <w:sz w:val="28"/>
            <w:szCs w:val="28"/>
          </w:rPr>
          <w:t xml:space="preserve"> </w:t>
        </w:r>
        <w:smartTag w:uri="urn:schemas-microsoft-com:office:smarttags" w:element="PlaceType">
          <w:r>
            <w:rPr>
              <w:rFonts w:cs="Arial"/>
              <w:b/>
              <w:sz w:val="28"/>
              <w:szCs w:val="28"/>
            </w:rPr>
            <w:t>City</w:t>
          </w:r>
        </w:smartTag>
        <w:r>
          <w:rPr>
            <w:rFonts w:cs="Arial"/>
            <w:b/>
            <w:sz w:val="28"/>
            <w:szCs w:val="28"/>
          </w:rPr>
          <w:t xml:space="preserve"> </w:t>
        </w:r>
        <w:smartTag w:uri="urn:schemas-microsoft-com:office:smarttags" w:element="PlaceType">
          <w:r>
            <w:rPr>
              <w:rFonts w:cs="Arial"/>
              <w:b/>
              <w:sz w:val="28"/>
              <w:szCs w:val="28"/>
            </w:rPr>
            <w:t>College</w:t>
          </w:r>
        </w:smartTag>
      </w:smartTag>
    </w:p>
    <w:p w:rsidR="00526641" w:rsidRDefault="00526641">
      <w:pPr>
        <w:tabs>
          <w:tab w:val="left" w:pos="720"/>
        </w:tabs>
        <w:autoSpaceDE w:val="0"/>
        <w:autoSpaceDN w:val="0"/>
        <w:adjustRightInd w:val="0"/>
        <w:jc w:val="both"/>
        <w:rPr>
          <w:rFonts w:cs="Arial"/>
          <w:b/>
          <w:sz w:val="28"/>
          <w:szCs w:val="28"/>
        </w:rPr>
      </w:pPr>
    </w:p>
    <w:p w:rsidR="00526641" w:rsidRPr="00526641" w:rsidRDefault="00526641">
      <w:pPr>
        <w:tabs>
          <w:tab w:val="left" w:pos="720"/>
        </w:tabs>
        <w:autoSpaceDE w:val="0"/>
        <w:autoSpaceDN w:val="0"/>
        <w:adjustRightInd w:val="0"/>
        <w:jc w:val="both"/>
        <w:rPr>
          <w:rFonts w:cs="Arial"/>
          <w:b/>
          <w:sz w:val="28"/>
          <w:szCs w:val="28"/>
        </w:rPr>
      </w:pPr>
    </w:p>
    <w:p w:rsidR="00526641" w:rsidRDefault="00526641">
      <w:pPr>
        <w:tabs>
          <w:tab w:val="left" w:pos="720"/>
        </w:tabs>
        <w:autoSpaceDE w:val="0"/>
        <w:autoSpaceDN w:val="0"/>
        <w:adjustRightInd w:val="0"/>
        <w:jc w:val="both"/>
        <w:rPr>
          <w:rFonts w:cs="Arial"/>
          <w:b/>
          <w:sz w:val="28"/>
          <w:szCs w:val="28"/>
        </w:rPr>
      </w:pPr>
    </w:p>
    <w:p w:rsidR="00D64F2A" w:rsidRDefault="009E1645" w:rsidP="00D64F2A">
      <w:pPr>
        <w:tabs>
          <w:tab w:val="left" w:pos="720"/>
        </w:tabs>
        <w:autoSpaceDE w:val="0"/>
        <w:autoSpaceDN w:val="0"/>
        <w:adjustRightInd w:val="0"/>
        <w:rPr>
          <w:rFonts w:cs="Arial"/>
          <w:b/>
          <w:sz w:val="28"/>
          <w:szCs w:val="28"/>
        </w:rPr>
      </w:pPr>
      <w:r w:rsidRPr="00526641">
        <w:rPr>
          <w:rFonts w:cs="Arial"/>
          <w:b/>
          <w:sz w:val="28"/>
          <w:szCs w:val="28"/>
        </w:rPr>
        <w:t xml:space="preserve">Higher Education </w:t>
      </w:r>
    </w:p>
    <w:p w:rsidR="00A53D95" w:rsidRDefault="00A53D95" w:rsidP="00D64F2A">
      <w:pPr>
        <w:tabs>
          <w:tab w:val="left" w:pos="720"/>
        </w:tabs>
        <w:autoSpaceDE w:val="0"/>
        <w:autoSpaceDN w:val="0"/>
        <w:adjustRightInd w:val="0"/>
        <w:rPr>
          <w:rFonts w:cs="Arial"/>
          <w:b/>
          <w:sz w:val="28"/>
          <w:szCs w:val="28"/>
        </w:rPr>
      </w:pPr>
    </w:p>
    <w:p w:rsidR="009E1645" w:rsidRPr="00526641" w:rsidRDefault="00876783" w:rsidP="00D64F2A">
      <w:pPr>
        <w:tabs>
          <w:tab w:val="left" w:pos="720"/>
        </w:tabs>
        <w:autoSpaceDE w:val="0"/>
        <w:autoSpaceDN w:val="0"/>
        <w:adjustRightInd w:val="0"/>
        <w:rPr>
          <w:rFonts w:cs="Arial"/>
          <w:b/>
          <w:sz w:val="28"/>
          <w:szCs w:val="28"/>
        </w:rPr>
      </w:pPr>
      <w:r>
        <w:rPr>
          <w:rFonts w:cs="Arial"/>
          <w:b/>
          <w:sz w:val="28"/>
          <w:szCs w:val="28"/>
        </w:rPr>
        <w:t>Publ</w:t>
      </w:r>
      <w:r w:rsidR="000046DC">
        <w:rPr>
          <w:rFonts w:cs="Arial"/>
          <w:b/>
          <w:sz w:val="28"/>
          <w:szCs w:val="28"/>
        </w:rPr>
        <w:t xml:space="preserve">ished </w:t>
      </w:r>
      <w:r>
        <w:rPr>
          <w:rFonts w:cs="Arial"/>
          <w:b/>
          <w:sz w:val="28"/>
          <w:szCs w:val="28"/>
        </w:rPr>
        <w:t>Information</w:t>
      </w:r>
      <w:r w:rsidR="00D64F2A">
        <w:rPr>
          <w:rFonts w:cs="Arial"/>
          <w:b/>
          <w:sz w:val="28"/>
          <w:szCs w:val="28"/>
        </w:rPr>
        <w:t xml:space="preserve"> </w:t>
      </w:r>
      <w:r w:rsidR="009E1645" w:rsidRPr="00526641">
        <w:rPr>
          <w:rFonts w:cs="Arial"/>
          <w:b/>
          <w:sz w:val="28"/>
          <w:szCs w:val="28"/>
        </w:rPr>
        <w:t>Policy</w:t>
      </w: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526641" w:rsidRDefault="00526641">
      <w:pPr>
        <w:tabs>
          <w:tab w:val="left" w:pos="720"/>
        </w:tabs>
        <w:autoSpaceDE w:val="0"/>
        <w:autoSpaceDN w:val="0"/>
        <w:adjustRightInd w:val="0"/>
        <w:jc w:val="both"/>
        <w:rPr>
          <w:rFonts w:cs="Arial"/>
          <w:b/>
        </w:rPr>
      </w:pPr>
    </w:p>
    <w:p w:rsidR="00701868" w:rsidRDefault="00701868" w:rsidP="00526641">
      <w:pPr>
        <w:tabs>
          <w:tab w:val="left" w:pos="720"/>
        </w:tabs>
        <w:spacing w:line="360" w:lineRule="auto"/>
        <w:jc w:val="both"/>
        <w:rPr>
          <w:rFonts w:cs="Arial"/>
          <w:b/>
          <w:sz w:val="22"/>
          <w:szCs w:val="22"/>
        </w:rPr>
      </w:pPr>
    </w:p>
    <w:p w:rsidR="00430E63" w:rsidRPr="00B02807" w:rsidRDefault="00430E63" w:rsidP="00526641">
      <w:pPr>
        <w:tabs>
          <w:tab w:val="left" w:pos="720"/>
        </w:tabs>
        <w:spacing w:line="360" w:lineRule="auto"/>
        <w:jc w:val="both"/>
        <w:rPr>
          <w:rFonts w:cs="Arial"/>
          <w:b/>
          <w:sz w:val="22"/>
          <w:szCs w:val="22"/>
        </w:rPr>
      </w:pPr>
      <w:r w:rsidRPr="00B02807">
        <w:rPr>
          <w:rFonts w:cs="Arial"/>
          <w:b/>
          <w:sz w:val="22"/>
          <w:szCs w:val="22"/>
        </w:rPr>
        <w:t xml:space="preserve">Owner: </w:t>
      </w:r>
      <w:r w:rsidR="0036335C">
        <w:rPr>
          <w:rFonts w:cs="Arial"/>
          <w:b/>
          <w:sz w:val="22"/>
          <w:szCs w:val="22"/>
        </w:rPr>
        <w:t>HEDO</w:t>
      </w:r>
    </w:p>
    <w:p w:rsidR="00430E63" w:rsidRDefault="00015A2A" w:rsidP="00526641">
      <w:pPr>
        <w:tabs>
          <w:tab w:val="left" w:pos="720"/>
        </w:tabs>
        <w:spacing w:line="360" w:lineRule="auto"/>
        <w:jc w:val="both"/>
        <w:rPr>
          <w:rFonts w:cs="Arial"/>
          <w:b/>
          <w:sz w:val="22"/>
          <w:szCs w:val="22"/>
        </w:rPr>
      </w:pPr>
      <w:r>
        <w:rPr>
          <w:rFonts w:cs="Arial"/>
          <w:b/>
          <w:sz w:val="22"/>
          <w:szCs w:val="22"/>
        </w:rPr>
        <w:t>Policy Introduced</w:t>
      </w:r>
      <w:r w:rsidR="00430E63" w:rsidRPr="00B02807">
        <w:rPr>
          <w:rFonts w:cs="Arial"/>
          <w:b/>
          <w:sz w:val="22"/>
          <w:szCs w:val="22"/>
        </w:rPr>
        <w:t xml:space="preserve">: </w:t>
      </w:r>
      <w:r>
        <w:rPr>
          <w:rFonts w:cs="Arial"/>
          <w:b/>
          <w:sz w:val="22"/>
          <w:szCs w:val="22"/>
        </w:rPr>
        <w:t>June 2015</w:t>
      </w:r>
    </w:p>
    <w:p w:rsidR="00430E63" w:rsidRPr="00B02807" w:rsidRDefault="00430E63" w:rsidP="00526641">
      <w:pPr>
        <w:tabs>
          <w:tab w:val="left" w:pos="720"/>
        </w:tabs>
        <w:spacing w:line="360" w:lineRule="auto"/>
        <w:jc w:val="both"/>
        <w:rPr>
          <w:rFonts w:cs="Arial"/>
          <w:b/>
          <w:sz w:val="22"/>
          <w:szCs w:val="22"/>
        </w:rPr>
      </w:pPr>
      <w:r w:rsidRPr="00B02807">
        <w:rPr>
          <w:rFonts w:cs="Arial"/>
          <w:b/>
          <w:sz w:val="22"/>
          <w:szCs w:val="22"/>
        </w:rPr>
        <w:t xml:space="preserve">Next Review: </w:t>
      </w:r>
      <w:r w:rsidR="00F72AE3">
        <w:rPr>
          <w:rFonts w:cs="Arial"/>
          <w:b/>
          <w:sz w:val="22"/>
          <w:szCs w:val="22"/>
        </w:rPr>
        <w:t>September 2021</w:t>
      </w:r>
    </w:p>
    <w:p w:rsidR="0035237F" w:rsidRPr="00A53D95" w:rsidRDefault="00430E63" w:rsidP="00ED69FB">
      <w:pPr>
        <w:tabs>
          <w:tab w:val="left" w:pos="720"/>
        </w:tabs>
        <w:spacing w:line="360" w:lineRule="auto"/>
        <w:rPr>
          <w:rFonts w:cs="Arial"/>
          <w:b/>
          <w:color w:val="FF0000"/>
          <w:sz w:val="22"/>
          <w:szCs w:val="22"/>
        </w:rPr>
      </w:pPr>
      <w:r w:rsidRPr="00B02807">
        <w:rPr>
          <w:rFonts w:cs="Arial"/>
          <w:b/>
          <w:sz w:val="22"/>
          <w:szCs w:val="22"/>
        </w:rPr>
        <w:t xml:space="preserve">Endorsed by: </w:t>
      </w:r>
      <w:r w:rsidR="00F72AE3">
        <w:rPr>
          <w:rFonts w:cs="Arial"/>
          <w:b/>
          <w:sz w:val="22"/>
          <w:szCs w:val="22"/>
        </w:rPr>
        <w:t>PM Meeting</w:t>
      </w:r>
      <w:r w:rsidR="005B3995">
        <w:rPr>
          <w:rFonts w:cs="Arial"/>
          <w:b/>
          <w:sz w:val="22"/>
          <w:szCs w:val="22"/>
        </w:rPr>
        <w:t xml:space="preserve"> and HE Academic Board</w:t>
      </w:r>
    </w:p>
    <w:p w:rsidR="009E1645" w:rsidRPr="00526641" w:rsidRDefault="00D748D5" w:rsidP="00D748D5">
      <w:pPr>
        <w:tabs>
          <w:tab w:val="left" w:pos="720"/>
        </w:tabs>
        <w:spacing w:line="360" w:lineRule="auto"/>
        <w:rPr>
          <w:rFonts w:cs="Arial"/>
          <w:b/>
          <w:sz w:val="22"/>
          <w:szCs w:val="22"/>
        </w:rPr>
      </w:pPr>
      <w:r>
        <w:rPr>
          <w:rFonts w:cs="Arial"/>
          <w:b/>
          <w:sz w:val="22"/>
          <w:szCs w:val="22"/>
        </w:rPr>
        <w:lastRenderedPageBreak/>
        <w:t>S</w:t>
      </w:r>
      <w:r w:rsidR="009E1645" w:rsidRPr="00526641">
        <w:rPr>
          <w:rFonts w:cs="Arial"/>
          <w:b/>
          <w:sz w:val="22"/>
          <w:szCs w:val="22"/>
        </w:rPr>
        <w:t>cope and Purpose of Policy</w:t>
      </w:r>
    </w:p>
    <w:p w:rsidR="009E1645" w:rsidRPr="00526641" w:rsidRDefault="009E1645">
      <w:pPr>
        <w:pStyle w:val="BodyTextIndent2"/>
        <w:ind w:left="0"/>
        <w:rPr>
          <w:sz w:val="22"/>
          <w:szCs w:val="22"/>
        </w:rPr>
      </w:pPr>
      <w:r w:rsidRPr="00526641">
        <w:rPr>
          <w:sz w:val="22"/>
          <w:szCs w:val="22"/>
        </w:rPr>
        <w:t xml:space="preserve">This policy applies to </w:t>
      </w:r>
      <w:r w:rsidR="00876783">
        <w:rPr>
          <w:sz w:val="22"/>
          <w:szCs w:val="22"/>
        </w:rPr>
        <w:t xml:space="preserve">information </w:t>
      </w:r>
      <w:r w:rsidR="00266369">
        <w:rPr>
          <w:sz w:val="22"/>
          <w:szCs w:val="22"/>
        </w:rPr>
        <w:t>relating to Leeds City College Higher E</w:t>
      </w:r>
      <w:r w:rsidR="00876783">
        <w:rPr>
          <w:sz w:val="22"/>
          <w:szCs w:val="22"/>
        </w:rPr>
        <w:t>ducation awards that is made available to the public</w:t>
      </w:r>
      <w:r w:rsidRPr="00526641">
        <w:rPr>
          <w:sz w:val="22"/>
          <w:szCs w:val="22"/>
        </w:rPr>
        <w:t xml:space="preserve">.  </w:t>
      </w:r>
    </w:p>
    <w:p w:rsidR="009E1645" w:rsidRPr="005661EC" w:rsidRDefault="009E1645">
      <w:pPr>
        <w:pStyle w:val="BodyTextIndent"/>
        <w:ind w:left="0"/>
        <w:rPr>
          <w:sz w:val="22"/>
          <w:szCs w:val="22"/>
        </w:rPr>
      </w:pPr>
      <w:r w:rsidRPr="00526641">
        <w:rPr>
          <w:sz w:val="22"/>
          <w:szCs w:val="22"/>
        </w:rPr>
        <w:t>Its purp</w:t>
      </w:r>
      <w:r w:rsidR="006C0DF6">
        <w:rPr>
          <w:sz w:val="22"/>
          <w:szCs w:val="22"/>
        </w:rPr>
        <w:t xml:space="preserve">ose is to ensure that the HE </w:t>
      </w:r>
      <w:r w:rsidR="000046DC">
        <w:rPr>
          <w:sz w:val="22"/>
          <w:szCs w:val="22"/>
        </w:rPr>
        <w:t>Published information</w:t>
      </w:r>
      <w:r w:rsidR="00876783">
        <w:rPr>
          <w:sz w:val="22"/>
          <w:szCs w:val="22"/>
        </w:rPr>
        <w:t xml:space="preserve"> </w:t>
      </w:r>
      <w:r w:rsidRPr="00526641">
        <w:rPr>
          <w:sz w:val="22"/>
          <w:szCs w:val="22"/>
        </w:rPr>
        <w:t xml:space="preserve">policy and procedures are implemented consistently across the College and that the requirements of awarding bodies </w:t>
      </w:r>
      <w:r w:rsidR="006C0DF6">
        <w:rPr>
          <w:sz w:val="22"/>
          <w:szCs w:val="22"/>
        </w:rPr>
        <w:t xml:space="preserve">are met. In addition, the HE </w:t>
      </w:r>
      <w:r w:rsidR="000046DC">
        <w:rPr>
          <w:sz w:val="22"/>
          <w:szCs w:val="22"/>
        </w:rPr>
        <w:t>Published information</w:t>
      </w:r>
      <w:r w:rsidR="00876783">
        <w:rPr>
          <w:sz w:val="22"/>
          <w:szCs w:val="22"/>
        </w:rPr>
        <w:t xml:space="preserve"> policy</w:t>
      </w:r>
      <w:r w:rsidRPr="00526641">
        <w:rPr>
          <w:sz w:val="22"/>
          <w:szCs w:val="22"/>
        </w:rPr>
        <w:t xml:space="preserve"> and procedures are fully informed </w:t>
      </w:r>
      <w:r w:rsidRPr="005661EC">
        <w:rPr>
          <w:sz w:val="22"/>
          <w:szCs w:val="22"/>
        </w:rPr>
        <w:t xml:space="preserve">by the </w:t>
      </w:r>
      <w:r w:rsidR="00876783">
        <w:rPr>
          <w:sz w:val="22"/>
          <w:szCs w:val="22"/>
        </w:rPr>
        <w:t>requirements of awarding bodies and</w:t>
      </w:r>
      <w:r w:rsidR="00A53D95" w:rsidRPr="005661EC">
        <w:rPr>
          <w:sz w:val="22"/>
          <w:szCs w:val="22"/>
        </w:rPr>
        <w:t xml:space="preserve"> </w:t>
      </w:r>
      <w:r w:rsidR="00F87971">
        <w:rPr>
          <w:sz w:val="22"/>
          <w:szCs w:val="22"/>
        </w:rPr>
        <w:t xml:space="preserve">the </w:t>
      </w:r>
      <w:r w:rsidR="00F72AE3">
        <w:rPr>
          <w:sz w:val="22"/>
          <w:szCs w:val="22"/>
        </w:rPr>
        <w:t xml:space="preserve">revised </w:t>
      </w:r>
      <w:r w:rsidRPr="005661EC">
        <w:rPr>
          <w:sz w:val="22"/>
          <w:szCs w:val="22"/>
        </w:rPr>
        <w:t xml:space="preserve">QAA </w:t>
      </w:r>
      <w:r w:rsidR="00701868">
        <w:rPr>
          <w:sz w:val="22"/>
          <w:szCs w:val="22"/>
        </w:rPr>
        <w:t>Quality Code</w:t>
      </w:r>
      <w:r w:rsidR="00F72AE3">
        <w:rPr>
          <w:sz w:val="22"/>
          <w:szCs w:val="22"/>
        </w:rPr>
        <w:t xml:space="preserve"> for Higher Education, in particular the Advice and Guidance relating to Admissions, Recruitment and Widening Access.</w:t>
      </w:r>
    </w:p>
    <w:p w:rsidR="00266369" w:rsidRDefault="009E1645" w:rsidP="00266369">
      <w:pPr>
        <w:rPr>
          <w:sz w:val="22"/>
          <w:szCs w:val="22"/>
        </w:rPr>
      </w:pPr>
      <w:r w:rsidRPr="005661EC">
        <w:rPr>
          <w:sz w:val="22"/>
          <w:szCs w:val="22"/>
        </w:rPr>
        <w:t xml:space="preserve">The College </w:t>
      </w:r>
      <w:r w:rsidR="00876783">
        <w:rPr>
          <w:sz w:val="22"/>
          <w:szCs w:val="22"/>
        </w:rPr>
        <w:t>provides a range of information for prospective and existing students, employers and other stakeholders which is utilised in a range of ways for a range of purposes.</w:t>
      </w:r>
    </w:p>
    <w:p w:rsidR="00266369" w:rsidRDefault="000046DC" w:rsidP="00266369">
      <w:pPr>
        <w:rPr>
          <w:sz w:val="22"/>
          <w:szCs w:val="22"/>
        </w:rPr>
      </w:pPr>
      <w:r>
        <w:rPr>
          <w:sz w:val="22"/>
          <w:szCs w:val="22"/>
        </w:rPr>
        <w:t>Published information</w:t>
      </w:r>
      <w:r w:rsidR="00266369">
        <w:rPr>
          <w:sz w:val="22"/>
          <w:szCs w:val="22"/>
        </w:rPr>
        <w:t xml:space="preserve"> within the context of this policy relates to:</w:t>
      </w:r>
    </w:p>
    <w:p w:rsidR="00266369" w:rsidRDefault="00266369" w:rsidP="00266369">
      <w:pPr>
        <w:rPr>
          <w:sz w:val="22"/>
          <w:szCs w:val="22"/>
        </w:rPr>
      </w:pPr>
    </w:p>
    <w:p w:rsidR="00266369" w:rsidRDefault="00266369" w:rsidP="00266369">
      <w:pPr>
        <w:pStyle w:val="ListParagraph"/>
        <w:numPr>
          <w:ilvl w:val="0"/>
          <w:numId w:val="12"/>
        </w:numPr>
        <w:rPr>
          <w:sz w:val="22"/>
          <w:szCs w:val="22"/>
        </w:rPr>
      </w:pPr>
      <w:r>
        <w:rPr>
          <w:sz w:val="22"/>
          <w:szCs w:val="22"/>
        </w:rPr>
        <w:t>HE quality assurance materials including policies and procedures, regulations and guidelines;</w:t>
      </w:r>
    </w:p>
    <w:p w:rsidR="00266369" w:rsidRDefault="00266369" w:rsidP="00266369">
      <w:pPr>
        <w:pStyle w:val="ListParagraph"/>
        <w:numPr>
          <w:ilvl w:val="0"/>
          <w:numId w:val="12"/>
        </w:numPr>
        <w:rPr>
          <w:sz w:val="22"/>
          <w:szCs w:val="22"/>
        </w:rPr>
      </w:pPr>
      <w:r>
        <w:rPr>
          <w:sz w:val="22"/>
          <w:szCs w:val="22"/>
        </w:rPr>
        <w:t>Marketing and publicity materials;</w:t>
      </w:r>
    </w:p>
    <w:p w:rsidR="00266369" w:rsidRPr="00266369" w:rsidRDefault="00266369" w:rsidP="00266369">
      <w:pPr>
        <w:pStyle w:val="ListParagraph"/>
        <w:numPr>
          <w:ilvl w:val="0"/>
          <w:numId w:val="12"/>
        </w:numPr>
        <w:rPr>
          <w:sz w:val="22"/>
          <w:szCs w:val="22"/>
        </w:rPr>
      </w:pPr>
      <w:r w:rsidRPr="00266369">
        <w:rPr>
          <w:sz w:val="22"/>
          <w:szCs w:val="22"/>
        </w:rPr>
        <w:t>Programme delivery material including (but not limited to) validation/approval documents</w:t>
      </w:r>
      <w:r w:rsidRPr="00266369">
        <w:rPr>
          <w:sz w:val="23"/>
          <w:szCs w:val="23"/>
        </w:rPr>
        <w:t>, programme and module handbooks, any material published on the virtual learning environment (VLE)</w:t>
      </w:r>
      <w:r>
        <w:rPr>
          <w:sz w:val="23"/>
          <w:szCs w:val="23"/>
        </w:rPr>
        <w:t>;</w:t>
      </w:r>
    </w:p>
    <w:p w:rsidR="00266369" w:rsidRPr="00266369" w:rsidRDefault="00266369" w:rsidP="00266369">
      <w:pPr>
        <w:pStyle w:val="ListParagraph"/>
        <w:numPr>
          <w:ilvl w:val="0"/>
          <w:numId w:val="12"/>
        </w:numPr>
        <w:rPr>
          <w:sz w:val="22"/>
          <w:szCs w:val="22"/>
        </w:rPr>
      </w:pPr>
      <w:r>
        <w:rPr>
          <w:sz w:val="23"/>
          <w:szCs w:val="23"/>
        </w:rPr>
        <w:t>S</w:t>
      </w:r>
      <w:r w:rsidRPr="00266369">
        <w:rPr>
          <w:sz w:val="23"/>
          <w:szCs w:val="23"/>
        </w:rPr>
        <w:t>tudent records of academic achievement whether leaving on completion or non-completion of their programme of study including (but not restricted to) notification of results and results transcripts</w:t>
      </w:r>
      <w:r>
        <w:rPr>
          <w:sz w:val="23"/>
          <w:szCs w:val="23"/>
        </w:rPr>
        <w:t>.</w:t>
      </w:r>
      <w:r w:rsidRPr="00266369">
        <w:rPr>
          <w:sz w:val="23"/>
          <w:szCs w:val="23"/>
        </w:rPr>
        <w:t xml:space="preserve"> </w:t>
      </w:r>
    </w:p>
    <w:p w:rsidR="00266369" w:rsidRPr="00266369" w:rsidRDefault="00266369" w:rsidP="00266369">
      <w:pPr>
        <w:ind w:left="480"/>
        <w:rPr>
          <w:sz w:val="22"/>
          <w:szCs w:val="22"/>
        </w:rPr>
      </w:pPr>
    </w:p>
    <w:p w:rsidR="00266369" w:rsidRPr="00266369" w:rsidRDefault="00266369" w:rsidP="00266369">
      <w:pPr>
        <w:rPr>
          <w:sz w:val="22"/>
          <w:szCs w:val="22"/>
        </w:rPr>
      </w:pPr>
    </w:p>
    <w:p w:rsidR="009E1645" w:rsidRPr="006E729F" w:rsidRDefault="009E1645" w:rsidP="006E729F">
      <w:pPr>
        <w:jc w:val="both"/>
        <w:rPr>
          <w:rFonts w:cs="Arial"/>
          <w:b/>
          <w:sz w:val="22"/>
          <w:szCs w:val="22"/>
        </w:rPr>
      </w:pPr>
      <w:r w:rsidRPr="006E729F">
        <w:rPr>
          <w:rFonts w:cs="Arial"/>
          <w:b/>
          <w:sz w:val="22"/>
          <w:szCs w:val="22"/>
        </w:rPr>
        <w:t>Policy Statement</w:t>
      </w:r>
    </w:p>
    <w:p w:rsidR="009E1645" w:rsidRPr="005661EC" w:rsidRDefault="009E1645">
      <w:pPr>
        <w:pStyle w:val="BodyTextIndent3"/>
        <w:tabs>
          <w:tab w:val="clear" w:pos="360"/>
        </w:tabs>
        <w:ind w:left="0"/>
        <w:rPr>
          <w:sz w:val="22"/>
          <w:szCs w:val="22"/>
        </w:rPr>
      </w:pPr>
      <w:r w:rsidRPr="005661EC">
        <w:rPr>
          <w:sz w:val="22"/>
          <w:szCs w:val="22"/>
        </w:rPr>
        <w:t>For HE provision the College wi</w:t>
      </w:r>
      <w:r w:rsidR="006C0DF6" w:rsidRPr="005661EC">
        <w:rPr>
          <w:sz w:val="22"/>
          <w:szCs w:val="22"/>
        </w:rPr>
        <w:t xml:space="preserve">ll operate a system for </w:t>
      </w:r>
      <w:r w:rsidR="00266369">
        <w:rPr>
          <w:sz w:val="22"/>
          <w:szCs w:val="22"/>
        </w:rPr>
        <w:t xml:space="preserve">assuring the completeness and accuracy of its </w:t>
      </w:r>
      <w:r w:rsidR="000046DC">
        <w:rPr>
          <w:sz w:val="22"/>
          <w:szCs w:val="22"/>
        </w:rPr>
        <w:t>published information</w:t>
      </w:r>
      <w:r w:rsidRPr="005661EC">
        <w:rPr>
          <w:sz w:val="22"/>
          <w:szCs w:val="22"/>
        </w:rPr>
        <w:t xml:space="preserve"> in line with the Quality Assurance Agency (QAA) and HE institutional collaborative agreements.</w:t>
      </w:r>
    </w:p>
    <w:p w:rsidR="00266369" w:rsidRDefault="00266369" w:rsidP="00266369">
      <w:pPr>
        <w:rPr>
          <w:sz w:val="22"/>
          <w:szCs w:val="22"/>
        </w:rPr>
      </w:pPr>
      <w:r>
        <w:rPr>
          <w:sz w:val="22"/>
          <w:szCs w:val="22"/>
        </w:rPr>
        <w:t>The College has a firm commitment to:</w:t>
      </w:r>
    </w:p>
    <w:p w:rsidR="00266369" w:rsidRDefault="00266369" w:rsidP="00266369">
      <w:pPr>
        <w:rPr>
          <w:sz w:val="22"/>
          <w:szCs w:val="22"/>
        </w:rPr>
      </w:pPr>
    </w:p>
    <w:p w:rsidR="00266369" w:rsidRDefault="00266369" w:rsidP="00266369">
      <w:pPr>
        <w:pStyle w:val="ListParagraph"/>
        <w:numPr>
          <w:ilvl w:val="0"/>
          <w:numId w:val="11"/>
        </w:numPr>
        <w:rPr>
          <w:sz w:val="22"/>
          <w:szCs w:val="22"/>
        </w:rPr>
      </w:pPr>
      <w:r>
        <w:rPr>
          <w:sz w:val="22"/>
          <w:szCs w:val="22"/>
        </w:rPr>
        <w:t>Ensuring that full care and attention is paid to writing and proof reading HE documentation;</w:t>
      </w:r>
    </w:p>
    <w:p w:rsidR="00266369" w:rsidRDefault="00266369" w:rsidP="00266369">
      <w:pPr>
        <w:pStyle w:val="ListParagraph"/>
        <w:numPr>
          <w:ilvl w:val="0"/>
          <w:numId w:val="11"/>
        </w:numPr>
        <w:rPr>
          <w:sz w:val="22"/>
          <w:szCs w:val="22"/>
        </w:rPr>
      </w:pPr>
      <w:r>
        <w:rPr>
          <w:sz w:val="22"/>
          <w:szCs w:val="22"/>
        </w:rPr>
        <w:t>Enhancing transparency and clarity of information relating to HE;</w:t>
      </w:r>
    </w:p>
    <w:p w:rsidR="00266369" w:rsidRDefault="00266369" w:rsidP="00266369">
      <w:pPr>
        <w:pStyle w:val="ListParagraph"/>
        <w:numPr>
          <w:ilvl w:val="0"/>
          <w:numId w:val="11"/>
        </w:numPr>
        <w:rPr>
          <w:sz w:val="22"/>
          <w:szCs w:val="22"/>
        </w:rPr>
      </w:pPr>
      <w:r>
        <w:rPr>
          <w:sz w:val="22"/>
          <w:szCs w:val="22"/>
        </w:rPr>
        <w:t>Confidently assuring itself, where reasonably possible, about the reliability, accuracy and completeness of its published HE information;</w:t>
      </w:r>
    </w:p>
    <w:p w:rsidR="00266369" w:rsidRDefault="00266369" w:rsidP="00266369">
      <w:pPr>
        <w:pStyle w:val="ListParagraph"/>
        <w:numPr>
          <w:ilvl w:val="0"/>
          <w:numId w:val="11"/>
        </w:numPr>
        <w:rPr>
          <w:sz w:val="22"/>
          <w:szCs w:val="22"/>
        </w:rPr>
      </w:pPr>
      <w:r>
        <w:rPr>
          <w:sz w:val="22"/>
          <w:szCs w:val="22"/>
        </w:rPr>
        <w:t>Publishing full, accurate and verifiable information relating to its HE quality assurance processes;</w:t>
      </w:r>
    </w:p>
    <w:p w:rsidR="00266369" w:rsidRDefault="00266369" w:rsidP="00266369">
      <w:pPr>
        <w:pStyle w:val="ListParagraph"/>
        <w:numPr>
          <w:ilvl w:val="0"/>
          <w:numId w:val="11"/>
        </w:numPr>
        <w:rPr>
          <w:sz w:val="22"/>
          <w:szCs w:val="22"/>
        </w:rPr>
      </w:pPr>
      <w:r>
        <w:rPr>
          <w:sz w:val="22"/>
          <w:szCs w:val="22"/>
        </w:rPr>
        <w:t>Not intentionally acting in a misleading manner in relation to published HE information made available to internal and external stakeholders.</w:t>
      </w:r>
    </w:p>
    <w:p w:rsidR="00430E63" w:rsidRPr="005661EC" w:rsidRDefault="00430E63" w:rsidP="00A53D95">
      <w:pPr>
        <w:spacing w:after="240"/>
        <w:ind w:left="720"/>
        <w:rPr>
          <w:rFonts w:cs="Arial"/>
          <w:sz w:val="22"/>
          <w:szCs w:val="22"/>
        </w:rPr>
      </w:pPr>
    </w:p>
    <w:p w:rsidR="003129CD" w:rsidRPr="005661EC" w:rsidRDefault="003129CD" w:rsidP="00430E63">
      <w:pPr>
        <w:pStyle w:val="BodyTextIndent2"/>
        <w:ind w:left="0"/>
        <w:rPr>
          <w:sz w:val="22"/>
          <w:szCs w:val="22"/>
        </w:rPr>
        <w:sectPr w:rsidR="003129CD" w:rsidRPr="005661EC">
          <w:footerReference w:type="default" r:id="rId8"/>
          <w:pgSz w:w="11906" w:h="16838"/>
          <w:pgMar w:top="1440" w:right="1800" w:bottom="1440" w:left="1800" w:header="708" w:footer="708" w:gutter="0"/>
          <w:cols w:space="708"/>
          <w:docGrid w:linePitch="360"/>
        </w:sect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8"/>
        <w:gridCol w:w="5523"/>
        <w:gridCol w:w="1981"/>
      </w:tblGrid>
      <w:tr w:rsidR="009E1645" w:rsidRPr="005661EC">
        <w:trPr>
          <w:tblHeader/>
        </w:trPr>
        <w:tc>
          <w:tcPr>
            <w:tcW w:w="1728" w:type="dxa"/>
          </w:tcPr>
          <w:p w:rsidR="009E1645" w:rsidRPr="005661EC" w:rsidRDefault="009E1645">
            <w:pPr>
              <w:pStyle w:val="BodyTextIndent2"/>
              <w:ind w:left="0"/>
              <w:rPr>
                <w:b/>
                <w:bCs/>
                <w:sz w:val="22"/>
                <w:szCs w:val="22"/>
              </w:rPr>
            </w:pPr>
            <w:r w:rsidRPr="005661EC">
              <w:rPr>
                <w:b/>
                <w:bCs/>
                <w:sz w:val="22"/>
                <w:szCs w:val="22"/>
              </w:rPr>
              <w:lastRenderedPageBreak/>
              <w:t>Policy</w:t>
            </w:r>
          </w:p>
        </w:tc>
        <w:tc>
          <w:tcPr>
            <w:tcW w:w="5600" w:type="dxa"/>
          </w:tcPr>
          <w:p w:rsidR="009E1645" w:rsidRPr="005661EC" w:rsidRDefault="0019061E" w:rsidP="00657C40">
            <w:pPr>
              <w:pStyle w:val="BodyTextIndent2"/>
              <w:ind w:left="0"/>
              <w:rPr>
                <w:b/>
                <w:bCs/>
                <w:sz w:val="22"/>
                <w:szCs w:val="22"/>
              </w:rPr>
            </w:pPr>
            <w:r w:rsidRPr="005661EC">
              <w:rPr>
                <w:b/>
                <w:bCs/>
                <w:sz w:val="22"/>
                <w:szCs w:val="22"/>
              </w:rPr>
              <w:t xml:space="preserve">Higher Education </w:t>
            </w:r>
            <w:r w:rsidR="000046DC">
              <w:rPr>
                <w:b/>
                <w:bCs/>
                <w:sz w:val="22"/>
                <w:szCs w:val="22"/>
              </w:rPr>
              <w:t>Published information</w:t>
            </w:r>
            <w:r w:rsidR="00430E63" w:rsidRPr="005661EC">
              <w:rPr>
                <w:b/>
                <w:bCs/>
                <w:sz w:val="22"/>
                <w:szCs w:val="22"/>
              </w:rPr>
              <w:t xml:space="preserve"> Policy </w:t>
            </w:r>
          </w:p>
        </w:tc>
        <w:tc>
          <w:tcPr>
            <w:tcW w:w="1994" w:type="dxa"/>
          </w:tcPr>
          <w:p w:rsidR="009E1645" w:rsidRPr="005661EC" w:rsidRDefault="00F67CBE">
            <w:pPr>
              <w:pStyle w:val="BodyTextIndent2"/>
              <w:ind w:left="0"/>
              <w:rPr>
                <w:b/>
                <w:bCs/>
                <w:sz w:val="22"/>
                <w:szCs w:val="22"/>
              </w:rPr>
            </w:pPr>
            <w:r>
              <w:rPr>
                <w:b/>
                <w:bCs/>
                <w:sz w:val="22"/>
                <w:szCs w:val="22"/>
              </w:rPr>
              <w:t>Quality Code Ref</w:t>
            </w:r>
          </w:p>
        </w:tc>
      </w:tr>
      <w:tr w:rsidR="009E1645" w:rsidRPr="005661EC">
        <w:tc>
          <w:tcPr>
            <w:tcW w:w="1728" w:type="dxa"/>
          </w:tcPr>
          <w:p w:rsidR="009E1645" w:rsidRPr="005661EC" w:rsidRDefault="009E1645">
            <w:pPr>
              <w:pStyle w:val="BodyTextIndent2"/>
              <w:ind w:left="0"/>
              <w:rPr>
                <w:b/>
                <w:bCs/>
                <w:sz w:val="22"/>
                <w:szCs w:val="22"/>
              </w:rPr>
            </w:pPr>
            <w:r w:rsidRPr="005661EC">
              <w:rPr>
                <w:b/>
                <w:bCs/>
                <w:sz w:val="22"/>
                <w:szCs w:val="22"/>
              </w:rPr>
              <w:t>Principles</w:t>
            </w:r>
          </w:p>
        </w:tc>
        <w:tc>
          <w:tcPr>
            <w:tcW w:w="5600" w:type="dxa"/>
          </w:tcPr>
          <w:p w:rsidR="00175C66" w:rsidRDefault="00175C66" w:rsidP="00175C66">
            <w:pPr>
              <w:pStyle w:val="Default"/>
              <w:ind w:left="720"/>
              <w:rPr>
                <w:rFonts w:ascii="Arial" w:hAnsi="Arial" w:cs="Arial"/>
                <w:sz w:val="22"/>
                <w:szCs w:val="22"/>
              </w:rPr>
            </w:pPr>
          </w:p>
          <w:p w:rsidR="00266369" w:rsidRDefault="00266369" w:rsidP="00266369">
            <w:pPr>
              <w:pStyle w:val="Default"/>
              <w:numPr>
                <w:ilvl w:val="0"/>
                <w:numId w:val="13"/>
              </w:numPr>
              <w:rPr>
                <w:rFonts w:ascii="Arial" w:hAnsi="Arial" w:cs="Arial"/>
                <w:sz w:val="22"/>
                <w:szCs w:val="22"/>
              </w:rPr>
            </w:pPr>
            <w:r w:rsidRPr="00266369">
              <w:rPr>
                <w:rFonts w:ascii="Arial" w:hAnsi="Arial" w:cs="Arial"/>
                <w:sz w:val="22"/>
                <w:szCs w:val="22"/>
              </w:rPr>
              <w:t>The College recommends that prospective students and applicants should contact the HE department to check the current position on programmes and services</w:t>
            </w:r>
            <w:r>
              <w:rPr>
                <w:rFonts w:ascii="Arial" w:hAnsi="Arial" w:cs="Arial"/>
                <w:sz w:val="22"/>
                <w:szCs w:val="22"/>
              </w:rPr>
              <w:t>;</w:t>
            </w:r>
          </w:p>
          <w:p w:rsidR="00266369" w:rsidRDefault="00266369" w:rsidP="00266369">
            <w:pPr>
              <w:pStyle w:val="Default"/>
              <w:ind w:left="720"/>
              <w:rPr>
                <w:rFonts w:ascii="Arial" w:hAnsi="Arial" w:cs="Arial"/>
                <w:sz w:val="22"/>
                <w:szCs w:val="22"/>
              </w:rPr>
            </w:pPr>
          </w:p>
          <w:p w:rsidR="00266369" w:rsidRDefault="00266369" w:rsidP="00266369">
            <w:pPr>
              <w:pStyle w:val="Default"/>
              <w:numPr>
                <w:ilvl w:val="0"/>
                <w:numId w:val="13"/>
              </w:numPr>
              <w:rPr>
                <w:rFonts w:ascii="Arial" w:hAnsi="Arial" w:cs="Arial"/>
                <w:sz w:val="22"/>
                <w:szCs w:val="22"/>
              </w:rPr>
            </w:pPr>
            <w:r w:rsidRPr="00266369">
              <w:rPr>
                <w:rFonts w:ascii="Arial" w:hAnsi="Arial" w:cs="Arial"/>
                <w:sz w:val="22"/>
                <w:szCs w:val="22"/>
              </w:rPr>
              <w:t xml:space="preserve">The </w:t>
            </w:r>
            <w:r>
              <w:rPr>
                <w:rFonts w:ascii="Arial" w:hAnsi="Arial" w:cs="Arial"/>
                <w:sz w:val="22"/>
                <w:szCs w:val="22"/>
              </w:rPr>
              <w:t>College</w:t>
            </w:r>
            <w:r w:rsidRPr="00266369">
              <w:rPr>
                <w:rFonts w:ascii="Arial" w:hAnsi="Arial" w:cs="Arial"/>
                <w:sz w:val="22"/>
                <w:szCs w:val="22"/>
              </w:rPr>
              <w:t xml:space="preserve"> reserves the right to make changes to, or remove items with regard to its web site, programmes, marketing materials, regulations, codes of practice, policies or guidelines, or remove or alter any con</w:t>
            </w:r>
            <w:r>
              <w:rPr>
                <w:rFonts w:ascii="Arial" w:hAnsi="Arial" w:cs="Arial"/>
                <w:sz w:val="22"/>
                <w:szCs w:val="22"/>
              </w:rPr>
              <w:t>tent at any time without notice;</w:t>
            </w:r>
          </w:p>
          <w:p w:rsidR="00266369" w:rsidRDefault="00266369" w:rsidP="00266369">
            <w:pPr>
              <w:pStyle w:val="ListParagraph"/>
              <w:rPr>
                <w:rFonts w:cs="Arial"/>
                <w:sz w:val="22"/>
                <w:szCs w:val="22"/>
              </w:rPr>
            </w:pPr>
          </w:p>
          <w:p w:rsidR="00266369" w:rsidRDefault="00266369" w:rsidP="00266369">
            <w:pPr>
              <w:pStyle w:val="Default"/>
              <w:numPr>
                <w:ilvl w:val="0"/>
                <w:numId w:val="13"/>
              </w:numPr>
              <w:rPr>
                <w:rFonts w:ascii="Arial" w:hAnsi="Arial" w:cs="Arial"/>
                <w:sz w:val="22"/>
                <w:szCs w:val="22"/>
              </w:rPr>
            </w:pPr>
            <w:r w:rsidRPr="00266369">
              <w:rPr>
                <w:rFonts w:ascii="Arial" w:hAnsi="Arial" w:cs="Arial"/>
                <w:sz w:val="22"/>
                <w:szCs w:val="22"/>
              </w:rPr>
              <w:t xml:space="preserve">Changing circumstances may cause the </w:t>
            </w:r>
            <w:r>
              <w:rPr>
                <w:rFonts w:ascii="Arial" w:hAnsi="Arial" w:cs="Arial"/>
                <w:sz w:val="22"/>
                <w:szCs w:val="22"/>
              </w:rPr>
              <w:t>College</w:t>
            </w:r>
            <w:r w:rsidRPr="00266369">
              <w:rPr>
                <w:rFonts w:ascii="Arial" w:hAnsi="Arial" w:cs="Arial"/>
                <w:sz w:val="22"/>
                <w:szCs w:val="22"/>
              </w:rPr>
              <w:t xml:space="preserve"> to have to adjust its provision at any time and in some instances</w:t>
            </w:r>
            <w:r>
              <w:rPr>
                <w:rFonts w:ascii="Arial" w:hAnsi="Arial" w:cs="Arial"/>
                <w:sz w:val="22"/>
                <w:szCs w:val="22"/>
              </w:rPr>
              <w:t xml:space="preserve"> despite its best efforts, the College</w:t>
            </w:r>
            <w:r w:rsidRPr="00266369">
              <w:rPr>
                <w:rFonts w:ascii="Arial" w:hAnsi="Arial" w:cs="Arial"/>
                <w:sz w:val="22"/>
                <w:szCs w:val="22"/>
              </w:rPr>
              <w:t>’s published information relating to higher education may sometimes fall short of what is needed</w:t>
            </w:r>
            <w:r>
              <w:rPr>
                <w:rFonts w:ascii="Arial" w:hAnsi="Arial" w:cs="Arial"/>
                <w:sz w:val="22"/>
                <w:szCs w:val="22"/>
              </w:rPr>
              <w:t>;</w:t>
            </w:r>
          </w:p>
          <w:p w:rsidR="00266369" w:rsidRDefault="00266369" w:rsidP="00266369">
            <w:pPr>
              <w:pStyle w:val="ListParagraph"/>
              <w:rPr>
                <w:rFonts w:cs="Arial"/>
                <w:sz w:val="22"/>
                <w:szCs w:val="22"/>
              </w:rPr>
            </w:pPr>
          </w:p>
          <w:p w:rsidR="00266369" w:rsidRDefault="00266369" w:rsidP="00266369">
            <w:pPr>
              <w:pStyle w:val="Default"/>
              <w:numPr>
                <w:ilvl w:val="0"/>
                <w:numId w:val="13"/>
              </w:numPr>
              <w:rPr>
                <w:rFonts w:ascii="Arial" w:hAnsi="Arial" w:cs="Arial"/>
                <w:sz w:val="22"/>
                <w:szCs w:val="22"/>
              </w:rPr>
            </w:pPr>
            <w:r w:rsidRPr="00266369">
              <w:rPr>
                <w:rFonts w:ascii="Arial" w:hAnsi="Arial" w:cs="Arial"/>
                <w:sz w:val="22"/>
                <w:szCs w:val="22"/>
              </w:rPr>
              <w:t xml:space="preserve">The </w:t>
            </w:r>
            <w:r>
              <w:rPr>
                <w:rFonts w:ascii="Arial" w:hAnsi="Arial" w:cs="Arial"/>
                <w:sz w:val="22"/>
                <w:szCs w:val="22"/>
              </w:rPr>
              <w:t>College</w:t>
            </w:r>
            <w:r w:rsidRPr="00266369">
              <w:rPr>
                <w:rFonts w:ascii="Arial" w:hAnsi="Arial" w:cs="Arial"/>
                <w:sz w:val="22"/>
                <w:szCs w:val="22"/>
              </w:rPr>
              <w:t xml:space="preserve"> excludes any warranty, express or implied, as to the accuracy, currency, completeness or fitness for any particular purpose of its website or any of its contents</w:t>
            </w:r>
            <w:r>
              <w:rPr>
                <w:rFonts w:ascii="Arial" w:hAnsi="Arial" w:cs="Arial"/>
                <w:sz w:val="22"/>
                <w:szCs w:val="22"/>
              </w:rPr>
              <w:t>;</w:t>
            </w:r>
          </w:p>
          <w:p w:rsidR="00266369" w:rsidRDefault="00266369" w:rsidP="00266369">
            <w:pPr>
              <w:pStyle w:val="ListParagraph"/>
              <w:rPr>
                <w:rFonts w:cs="Arial"/>
                <w:sz w:val="22"/>
                <w:szCs w:val="22"/>
              </w:rPr>
            </w:pPr>
          </w:p>
          <w:p w:rsidR="00266369" w:rsidRDefault="00266369" w:rsidP="00266369">
            <w:pPr>
              <w:pStyle w:val="Default"/>
              <w:numPr>
                <w:ilvl w:val="0"/>
                <w:numId w:val="13"/>
              </w:numPr>
              <w:rPr>
                <w:rFonts w:ascii="Arial" w:hAnsi="Arial" w:cs="Arial"/>
                <w:sz w:val="22"/>
                <w:szCs w:val="22"/>
              </w:rPr>
            </w:pPr>
            <w:r w:rsidRPr="00266369">
              <w:rPr>
                <w:rFonts w:ascii="Arial" w:hAnsi="Arial" w:cs="Arial"/>
                <w:sz w:val="22"/>
                <w:szCs w:val="22"/>
              </w:rPr>
              <w:t xml:space="preserve">The </w:t>
            </w:r>
            <w:r>
              <w:rPr>
                <w:rFonts w:ascii="Arial" w:hAnsi="Arial" w:cs="Arial"/>
                <w:sz w:val="22"/>
                <w:szCs w:val="22"/>
              </w:rPr>
              <w:t>College</w:t>
            </w:r>
            <w:r w:rsidRPr="00266369">
              <w:rPr>
                <w:rFonts w:ascii="Arial" w:hAnsi="Arial" w:cs="Arial"/>
                <w:sz w:val="22"/>
                <w:szCs w:val="22"/>
              </w:rPr>
              <w:t xml:space="preserve"> makes no representations that information is accurate and up to date or complete and accepts no liability for any loss or damage caused by inaccurate information</w:t>
            </w:r>
            <w:r>
              <w:rPr>
                <w:rFonts w:ascii="Arial" w:hAnsi="Arial" w:cs="Arial"/>
                <w:sz w:val="22"/>
                <w:szCs w:val="22"/>
              </w:rPr>
              <w:t>;</w:t>
            </w:r>
          </w:p>
          <w:p w:rsidR="00266369" w:rsidRDefault="00266369" w:rsidP="00266369">
            <w:pPr>
              <w:pStyle w:val="ListParagraph"/>
              <w:rPr>
                <w:rFonts w:cs="Arial"/>
                <w:sz w:val="22"/>
                <w:szCs w:val="22"/>
              </w:rPr>
            </w:pPr>
          </w:p>
          <w:p w:rsidR="00266369" w:rsidRDefault="00266369" w:rsidP="00266369">
            <w:pPr>
              <w:pStyle w:val="Default"/>
              <w:numPr>
                <w:ilvl w:val="0"/>
                <w:numId w:val="13"/>
              </w:numPr>
              <w:rPr>
                <w:rFonts w:ascii="Arial" w:hAnsi="Arial" w:cs="Arial"/>
                <w:sz w:val="22"/>
                <w:szCs w:val="22"/>
              </w:rPr>
            </w:pPr>
            <w:r w:rsidRPr="00266369">
              <w:rPr>
                <w:rFonts w:ascii="Arial" w:hAnsi="Arial" w:cs="Arial"/>
                <w:sz w:val="22"/>
                <w:szCs w:val="22"/>
              </w:rPr>
              <w:t xml:space="preserve">The </w:t>
            </w:r>
            <w:r w:rsidR="00175C66">
              <w:rPr>
                <w:rFonts w:ascii="Arial" w:hAnsi="Arial" w:cs="Arial"/>
                <w:sz w:val="22"/>
                <w:szCs w:val="22"/>
              </w:rPr>
              <w:t>College</w:t>
            </w:r>
            <w:r w:rsidRPr="00266369">
              <w:rPr>
                <w:rFonts w:ascii="Arial" w:hAnsi="Arial" w:cs="Arial"/>
                <w:sz w:val="22"/>
                <w:szCs w:val="22"/>
              </w:rPr>
              <w:t xml:space="preserve"> will not be responsible for any claims for damages arising from the use or non-use of its web sites or any of its contents</w:t>
            </w:r>
            <w:r w:rsidR="00175C66">
              <w:rPr>
                <w:rFonts w:ascii="Arial" w:hAnsi="Arial" w:cs="Arial"/>
                <w:sz w:val="22"/>
                <w:szCs w:val="22"/>
              </w:rPr>
              <w:t>;</w:t>
            </w:r>
          </w:p>
          <w:p w:rsidR="00175C66" w:rsidRDefault="00175C66" w:rsidP="00175C66">
            <w:pPr>
              <w:pStyle w:val="ListParagraph"/>
              <w:rPr>
                <w:rFonts w:cs="Arial"/>
                <w:sz w:val="22"/>
                <w:szCs w:val="22"/>
              </w:rPr>
            </w:pPr>
          </w:p>
          <w:p w:rsidR="00175C66" w:rsidRPr="00175C66" w:rsidRDefault="00175C66" w:rsidP="00175C66">
            <w:pPr>
              <w:pStyle w:val="Default"/>
              <w:numPr>
                <w:ilvl w:val="0"/>
                <w:numId w:val="13"/>
              </w:numPr>
              <w:rPr>
                <w:rFonts w:ascii="Arial" w:hAnsi="Arial" w:cs="Arial"/>
                <w:sz w:val="22"/>
                <w:szCs w:val="22"/>
              </w:rPr>
            </w:pPr>
            <w:r w:rsidRPr="00175C66">
              <w:rPr>
                <w:rFonts w:ascii="Arial" w:hAnsi="Arial" w:cs="Arial"/>
                <w:color w:val="auto"/>
                <w:sz w:val="22"/>
                <w:szCs w:val="22"/>
              </w:rPr>
              <w:t>The Higher Education Development Office (HEDO)</w:t>
            </w:r>
            <w:r w:rsidR="00266369" w:rsidRPr="00175C66">
              <w:rPr>
                <w:rFonts w:ascii="Arial" w:hAnsi="Arial" w:cs="Arial"/>
                <w:color w:val="auto"/>
                <w:sz w:val="22"/>
                <w:szCs w:val="22"/>
              </w:rPr>
              <w:t xml:space="preserve"> must ensure the </w:t>
            </w:r>
            <w:r w:rsidR="00F71A98">
              <w:rPr>
                <w:rFonts w:ascii="Arial" w:hAnsi="Arial" w:cs="Arial"/>
                <w:color w:val="auto"/>
                <w:sz w:val="22"/>
                <w:szCs w:val="22"/>
              </w:rPr>
              <w:t xml:space="preserve">accessibility, </w:t>
            </w:r>
            <w:r w:rsidR="00266369" w:rsidRPr="00175C66">
              <w:rPr>
                <w:rFonts w:ascii="Arial" w:hAnsi="Arial" w:cs="Arial"/>
                <w:color w:val="auto"/>
                <w:sz w:val="22"/>
                <w:szCs w:val="22"/>
              </w:rPr>
              <w:t>accuracy, completeness and reliability of inform</w:t>
            </w:r>
            <w:r w:rsidRPr="00175C66">
              <w:rPr>
                <w:rFonts w:ascii="Arial" w:hAnsi="Arial" w:cs="Arial"/>
                <w:color w:val="auto"/>
                <w:sz w:val="22"/>
                <w:szCs w:val="22"/>
              </w:rPr>
              <w:t>ation produced by faculties</w:t>
            </w:r>
            <w:r w:rsidR="00266369" w:rsidRPr="00175C66">
              <w:rPr>
                <w:rFonts w:ascii="Arial" w:hAnsi="Arial" w:cs="Arial"/>
                <w:color w:val="auto"/>
                <w:sz w:val="22"/>
                <w:szCs w:val="22"/>
              </w:rPr>
              <w:t>, prior to and following publishing of material for external or internal purposes</w:t>
            </w:r>
            <w:r w:rsidRPr="00175C66">
              <w:rPr>
                <w:rFonts w:ascii="Arial" w:hAnsi="Arial" w:cs="Arial"/>
                <w:color w:val="auto"/>
                <w:sz w:val="22"/>
                <w:szCs w:val="22"/>
              </w:rPr>
              <w:t>;</w:t>
            </w:r>
          </w:p>
          <w:p w:rsidR="00175C66" w:rsidRDefault="00175C66" w:rsidP="00175C66">
            <w:pPr>
              <w:pStyle w:val="ListParagraph"/>
              <w:rPr>
                <w:sz w:val="23"/>
                <w:szCs w:val="23"/>
              </w:rPr>
            </w:pPr>
          </w:p>
          <w:p w:rsidR="00175C66" w:rsidRPr="00175C66" w:rsidRDefault="00175C66" w:rsidP="00266369">
            <w:pPr>
              <w:pStyle w:val="Default"/>
              <w:numPr>
                <w:ilvl w:val="0"/>
                <w:numId w:val="13"/>
              </w:numPr>
              <w:rPr>
                <w:rFonts w:ascii="Arial" w:hAnsi="Arial" w:cs="Arial"/>
                <w:sz w:val="22"/>
                <w:szCs w:val="22"/>
              </w:rPr>
            </w:pPr>
            <w:r w:rsidRPr="00175C66">
              <w:rPr>
                <w:rFonts w:ascii="Arial" w:hAnsi="Arial" w:cs="Arial"/>
                <w:color w:val="auto"/>
                <w:sz w:val="22"/>
                <w:szCs w:val="22"/>
              </w:rPr>
              <w:t>The</w:t>
            </w:r>
            <w:r w:rsidR="00266369" w:rsidRPr="00175C66">
              <w:rPr>
                <w:rFonts w:ascii="Arial" w:hAnsi="Arial" w:cs="Arial"/>
                <w:color w:val="auto"/>
                <w:sz w:val="22"/>
                <w:szCs w:val="22"/>
              </w:rPr>
              <w:t xml:space="preserve"> guardianship of published information must be underpinned by purposive sampling and regular reviews and carried out annually by </w:t>
            </w:r>
            <w:r w:rsidRPr="00175C66">
              <w:rPr>
                <w:rFonts w:ascii="Arial" w:hAnsi="Arial" w:cs="Arial"/>
                <w:color w:val="auto"/>
                <w:sz w:val="22"/>
                <w:szCs w:val="22"/>
              </w:rPr>
              <w:t xml:space="preserve">HEDO; </w:t>
            </w:r>
          </w:p>
          <w:p w:rsidR="00175C66" w:rsidRPr="00175C66" w:rsidRDefault="00175C66" w:rsidP="00175C66">
            <w:pPr>
              <w:pStyle w:val="ListParagraph"/>
              <w:rPr>
                <w:rFonts w:cs="Arial"/>
                <w:sz w:val="22"/>
                <w:szCs w:val="22"/>
              </w:rPr>
            </w:pPr>
          </w:p>
          <w:p w:rsidR="00175C66" w:rsidRPr="00175C66" w:rsidRDefault="00266369" w:rsidP="00266369">
            <w:pPr>
              <w:pStyle w:val="Default"/>
              <w:numPr>
                <w:ilvl w:val="0"/>
                <w:numId w:val="13"/>
              </w:numPr>
              <w:rPr>
                <w:rFonts w:ascii="Arial" w:hAnsi="Arial" w:cs="Arial"/>
                <w:sz w:val="22"/>
                <w:szCs w:val="22"/>
              </w:rPr>
            </w:pPr>
            <w:r w:rsidRPr="00175C66">
              <w:rPr>
                <w:rFonts w:ascii="Arial" w:hAnsi="Arial" w:cs="Arial"/>
                <w:color w:val="auto"/>
                <w:sz w:val="22"/>
                <w:szCs w:val="22"/>
              </w:rPr>
              <w:t xml:space="preserve">Feedback via </w:t>
            </w:r>
            <w:r w:rsidR="00175C66" w:rsidRPr="00175C66">
              <w:rPr>
                <w:rFonts w:ascii="Arial" w:hAnsi="Arial" w:cs="Arial"/>
                <w:color w:val="auto"/>
                <w:sz w:val="22"/>
                <w:szCs w:val="22"/>
              </w:rPr>
              <w:t>HEDO</w:t>
            </w:r>
            <w:r w:rsidRPr="00175C66">
              <w:rPr>
                <w:rFonts w:ascii="Arial" w:hAnsi="Arial" w:cs="Arial"/>
                <w:color w:val="auto"/>
                <w:sz w:val="22"/>
                <w:szCs w:val="22"/>
              </w:rPr>
              <w:t xml:space="preserve"> is welcomed so that where appropriate, </w:t>
            </w:r>
            <w:r w:rsidR="00F71A98">
              <w:rPr>
                <w:rFonts w:ascii="Arial" w:hAnsi="Arial" w:cs="Arial"/>
                <w:color w:val="auto"/>
                <w:sz w:val="22"/>
                <w:szCs w:val="22"/>
              </w:rPr>
              <w:t xml:space="preserve">inaccessible, </w:t>
            </w:r>
            <w:r w:rsidRPr="00175C66">
              <w:rPr>
                <w:rFonts w:ascii="Arial" w:hAnsi="Arial" w:cs="Arial"/>
                <w:color w:val="auto"/>
                <w:sz w:val="22"/>
                <w:szCs w:val="22"/>
              </w:rPr>
              <w:t>inaccurate or missing information can be corrected or made accessible</w:t>
            </w:r>
            <w:r w:rsidR="00175C66" w:rsidRPr="00175C66">
              <w:rPr>
                <w:rFonts w:ascii="Arial" w:hAnsi="Arial" w:cs="Arial"/>
                <w:color w:val="auto"/>
                <w:sz w:val="22"/>
                <w:szCs w:val="22"/>
              </w:rPr>
              <w:t>;</w:t>
            </w:r>
          </w:p>
          <w:p w:rsidR="00175C66" w:rsidRPr="00175C66" w:rsidRDefault="00175C66" w:rsidP="00175C66">
            <w:pPr>
              <w:pStyle w:val="ListParagraph"/>
              <w:rPr>
                <w:rFonts w:cs="Arial"/>
                <w:sz w:val="22"/>
                <w:szCs w:val="22"/>
              </w:rPr>
            </w:pPr>
          </w:p>
          <w:p w:rsidR="009E1645" w:rsidRPr="00175C66" w:rsidRDefault="00266369" w:rsidP="00175C66">
            <w:pPr>
              <w:pStyle w:val="Default"/>
              <w:numPr>
                <w:ilvl w:val="0"/>
                <w:numId w:val="13"/>
              </w:numPr>
              <w:rPr>
                <w:rFonts w:ascii="Arial" w:hAnsi="Arial" w:cs="Arial"/>
                <w:sz w:val="22"/>
                <w:szCs w:val="22"/>
              </w:rPr>
            </w:pPr>
            <w:r w:rsidRPr="00175C66">
              <w:rPr>
                <w:rFonts w:ascii="Arial" w:hAnsi="Arial" w:cs="Arial"/>
                <w:sz w:val="22"/>
                <w:szCs w:val="22"/>
              </w:rPr>
              <w:t xml:space="preserve">In all instances, </w:t>
            </w:r>
            <w:r w:rsidR="00175C66" w:rsidRPr="00175C66">
              <w:rPr>
                <w:rFonts w:ascii="Arial" w:hAnsi="Arial" w:cs="Arial"/>
                <w:sz w:val="22"/>
                <w:szCs w:val="22"/>
              </w:rPr>
              <w:t xml:space="preserve">curriculum departments must allow the HEDO </w:t>
            </w:r>
            <w:r w:rsidRPr="00175C66">
              <w:rPr>
                <w:rFonts w:ascii="Arial" w:hAnsi="Arial" w:cs="Arial"/>
                <w:sz w:val="22"/>
                <w:szCs w:val="22"/>
              </w:rPr>
              <w:t xml:space="preserve">a period of no less than 2 working days and no more than five working days in which to confirm the approval status of material. Wherever possible, prior notification </w:t>
            </w:r>
            <w:r w:rsidRPr="00175C66">
              <w:rPr>
                <w:rFonts w:ascii="Arial" w:hAnsi="Arial" w:cs="Arial"/>
                <w:sz w:val="22"/>
                <w:szCs w:val="22"/>
              </w:rPr>
              <w:lastRenderedPageBreak/>
              <w:t xml:space="preserve">should be given to </w:t>
            </w:r>
            <w:r w:rsidR="00175C66" w:rsidRPr="00175C66">
              <w:rPr>
                <w:rFonts w:ascii="Arial" w:hAnsi="Arial" w:cs="Arial"/>
                <w:sz w:val="22"/>
                <w:szCs w:val="22"/>
              </w:rPr>
              <w:t>HEDO</w:t>
            </w:r>
            <w:r w:rsidRPr="00175C66">
              <w:rPr>
                <w:rFonts w:ascii="Arial" w:hAnsi="Arial" w:cs="Arial"/>
                <w:sz w:val="22"/>
                <w:szCs w:val="22"/>
              </w:rPr>
              <w:t xml:space="preserve"> in readiness for receipt of material for approval</w:t>
            </w:r>
            <w:r w:rsidR="00175C66" w:rsidRPr="00175C66">
              <w:rPr>
                <w:rFonts w:ascii="Arial" w:hAnsi="Arial" w:cs="Arial"/>
                <w:sz w:val="22"/>
                <w:szCs w:val="22"/>
              </w:rPr>
              <w:t xml:space="preserve">; </w:t>
            </w:r>
          </w:p>
          <w:p w:rsidR="004B39B4" w:rsidRPr="004B39B4" w:rsidRDefault="004B39B4" w:rsidP="004B39B4">
            <w:pPr>
              <w:pStyle w:val="BodyText"/>
              <w:spacing w:before="60" w:after="60"/>
              <w:rPr>
                <w:sz w:val="22"/>
                <w:szCs w:val="22"/>
              </w:rPr>
            </w:pPr>
          </w:p>
        </w:tc>
        <w:tc>
          <w:tcPr>
            <w:tcW w:w="1994" w:type="dxa"/>
          </w:tcPr>
          <w:p w:rsidR="00F72AE3" w:rsidRDefault="00F72AE3">
            <w:pPr>
              <w:pStyle w:val="BodyTextIndent2"/>
              <w:ind w:left="0"/>
              <w:rPr>
                <w:sz w:val="22"/>
                <w:szCs w:val="22"/>
              </w:rPr>
            </w:pPr>
            <w:r>
              <w:rPr>
                <w:sz w:val="22"/>
                <w:szCs w:val="22"/>
              </w:rPr>
              <w:lastRenderedPageBreak/>
              <w:t>Expectations for Quality</w:t>
            </w:r>
          </w:p>
          <w:p w:rsidR="00F72AE3" w:rsidRDefault="00F72AE3">
            <w:pPr>
              <w:pStyle w:val="BodyTextIndent2"/>
              <w:ind w:left="0"/>
              <w:rPr>
                <w:sz w:val="22"/>
                <w:szCs w:val="22"/>
              </w:rPr>
            </w:pPr>
            <w:r>
              <w:rPr>
                <w:sz w:val="22"/>
                <w:szCs w:val="22"/>
              </w:rPr>
              <w:t>Core Practices: 1</w:t>
            </w:r>
          </w:p>
          <w:p w:rsidR="00F72AE3" w:rsidRDefault="00F72AE3">
            <w:pPr>
              <w:pStyle w:val="BodyTextIndent2"/>
              <w:ind w:left="0"/>
              <w:rPr>
                <w:sz w:val="22"/>
                <w:szCs w:val="22"/>
              </w:rPr>
            </w:pPr>
          </w:p>
          <w:p w:rsidR="009E1645" w:rsidRDefault="00F72AE3">
            <w:pPr>
              <w:pStyle w:val="BodyTextIndent2"/>
              <w:ind w:left="0"/>
              <w:rPr>
                <w:sz w:val="22"/>
                <w:szCs w:val="22"/>
              </w:rPr>
            </w:pPr>
            <w:r>
              <w:rPr>
                <w:sz w:val="22"/>
                <w:szCs w:val="22"/>
              </w:rPr>
              <w:t>Guiding Principles:</w:t>
            </w:r>
          </w:p>
          <w:p w:rsidR="00F72AE3" w:rsidRPr="005661EC" w:rsidRDefault="00F72AE3">
            <w:pPr>
              <w:pStyle w:val="BodyTextIndent2"/>
              <w:ind w:left="0"/>
              <w:rPr>
                <w:sz w:val="22"/>
                <w:szCs w:val="22"/>
              </w:rPr>
            </w:pPr>
            <w:r>
              <w:rPr>
                <w:sz w:val="22"/>
                <w:szCs w:val="22"/>
              </w:rPr>
              <w:t>3, 4</w:t>
            </w:r>
          </w:p>
        </w:tc>
      </w:tr>
      <w:tr w:rsidR="009E1645" w:rsidRPr="005661EC">
        <w:tc>
          <w:tcPr>
            <w:tcW w:w="1728" w:type="dxa"/>
          </w:tcPr>
          <w:p w:rsidR="009E1645" w:rsidRPr="005661EC" w:rsidRDefault="009E1645" w:rsidP="00175C66">
            <w:pPr>
              <w:pStyle w:val="BodyTextIndent2"/>
              <w:ind w:left="0"/>
              <w:rPr>
                <w:b/>
                <w:bCs/>
                <w:sz w:val="22"/>
                <w:szCs w:val="22"/>
              </w:rPr>
            </w:pPr>
            <w:r w:rsidRPr="005661EC">
              <w:rPr>
                <w:b/>
                <w:bCs/>
                <w:sz w:val="22"/>
                <w:szCs w:val="22"/>
              </w:rPr>
              <w:t>P</w:t>
            </w:r>
            <w:r w:rsidR="00175C66">
              <w:rPr>
                <w:b/>
                <w:bCs/>
                <w:sz w:val="22"/>
                <w:szCs w:val="22"/>
              </w:rPr>
              <w:t>ublicity Information</w:t>
            </w:r>
          </w:p>
        </w:tc>
        <w:tc>
          <w:tcPr>
            <w:tcW w:w="5600" w:type="dxa"/>
          </w:tcPr>
          <w:p w:rsidR="00175C66" w:rsidRDefault="00175C66" w:rsidP="00175C66">
            <w:pPr>
              <w:pStyle w:val="ISEDbodytext"/>
              <w:numPr>
                <w:ilvl w:val="0"/>
                <w:numId w:val="14"/>
              </w:numPr>
              <w:rPr>
                <w:rFonts w:cs="Arial"/>
                <w:color w:val="auto"/>
                <w:szCs w:val="22"/>
              </w:rPr>
            </w:pPr>
            <w:r>
              <w:rPr>
                <w:rFonts w:cs="Arial"/>
                <w:color w:val="auto"/>
                <w:szCs w:val="22"/>
              </w:rPr>
              <w:t xml:space="preserve">HEDO is responsible for the production of generic </w:t>
            </w:r>
            <w:r w:rsidR="000046DC">
              <w:rPr>
                <w:rFonts w:cs="Arial"/>
                <w:color w:val="auto"/>
                <w:szCs w:val="22"/>
              </w:rPr>
              <w:t>published information</w:t>
            </w:r>
            <w:r>
              <w:rPr>
                <w:rFonts w:cs="Arial"/>
                <w:color w:val="auto"/>
                <w:szCs w:val="22"/>
              </w:rPr>
              <w:t xml:space="preserve"> relating to the provision and for confirming the accuracy of this;  </w:t>
            </w:r>
          </w:p>
          <w:p w:rsidR="00175C66" w:rsidRDefault="00175C66" w:rsidP="00175C66">
            <w:pPr>
              <w:pStyle w:val="ISEDbodytext"/>
              <w:numPr>
                <w:ilvl w:val="0"/>
                <w:numId w:val="14"/>
              </w:numPr>
              <w:rPr>
                <w:rFonts w:cs="Arial"/>
                <w:color w:val="auto"/>
                <w:szCs w:val="22"/>
              </w:rPr>
            </w:pPr>
            <w:r>
              <w:rPr>
                <w:rFonts w:cs="Arial"/>
                <w:color w:val="auto"/>
                <w:szCs w:val="22"/>
              </w:rPr>
              <w:t>Programme teams are responsible for the production of generic information</w:t>
            </w:r>
            <w:r w:rsidR="00F71A98">
              <w:rPr>
                <w:rFonts w:cs="Arial"/>
                <w:color w:val="auto"/>
                <w:szCs w:val="22"/>
              </w:rPr>
              <w:t>, written in accessible language,</w:t>
            </w:r>
            <w:r>
              <w:rPr>
                <w:rFonts w:cs="Arial"/>
                <w:color w:val="auto"/>
                <w:szCs w:val="22"/>
              </w:rPr>
              <w:t xml:space="preserve"> relating to individual programmes, and for confirming the accuracy of this;</w:t>
            </w:r>
          </w:p>
          <w:p w:rsidR="00175C66" w:rsidRDefault="00175C66" w:rsidP="00175C66">
            <w:pPr>
              <w:pStyle w:val="ISEDbodytext"/>
              <w:numPr>
                <w:ilvl w:val="0"/>
                <w:numId w:val="14"/>
              </w:numPr>
              <w:rPr>
                <w:rFonts w:cs="Arial"/>
                <w:color w:val="auto"/>
                <w:szCs w:val="22"/>
              </w:rPr>
            </w:pPr>
            <w:r>
              <w:rPr>
                <w:rFonts w:cs="Arial"/>
                <w:color w:val="auto"/>
                <w:szCs w:val="22"/>
              </w:rPr>
              <w:t>All publicity information will be reviewed and updated on an annual basis;</w:t>
            </w:r>
          </w:p>
          <w:p w:rsidR="00175C66" w:rsidRDefault="00175C66" w:rsidP="00175C66">
            <w:pPr>
              <w:pStyle w:val="ISEDbodytext"/>
              <w:numPr>
                <w:ilvl w:val="0"/>
                <w:numId w:val="14"/>
              </w:numPr>
              <w:rPr>
                <w:rFonts w:cs="Arial"/>
                <w:color w:val="auto"/>
                <w:szCs w:val="22"/>
              </w:rPr>
            </w:pPr>
            <w:r>
              <w:rPr>
                <w:rFonts w:cs="Arial"/>
                <w:color w:val="auto"/>
                <w:szCs w:val="22"/>
              </w:rPr>
              <w:t xml:space="preserve">Periodic audits will also be carried out to confirm </w:t>
            </w:r>
            <w:r w:rsidR="00F71A98">
              <w:rPr>
                <w:rFonts w:cs="Arial"/>
                <w:color w:val="auto"/>
                <w:szCs w:val="22"/>
              </w:rPr>
              <w:t xml:space="preserve">accessibility, </w:t>
            </w:r>
            <w:r>
              <w:rPr>
                <w:rFonts w:cs="Arial"/>
                <w:color w:val="auto"/>
                <w:szCs w:val="22"/>
              </w:rPr>
              <w:t>accuracy and completeness;</w:t>
            </w:r>
          </w:p>
          <w:p w:rsidR="00175C66" w:rsidRDefault="00175C66" w:rsidP="00175C66">
            <w:pPr>
              <w:pStyle w:val="ISEDbodytext"/>
              <w:numPr>
                <w:ilvl w:val="0"/>
                <w:numId w:val="14"/>
              </w:numPr>
              <w:rPr>
                <w:rFonts w:cs="Arial"/>
                <w:color w:val="auto"/>
                <w:szCs w:val="22"/>
              </w:rPr>
            </w:pPr>
            <w:r>
              <w:rPr>
                <w:rFonts w:cs="Arial"/>
                <w:color w:val="auto"/>
                <w:szCs w:val="22"/>
              </w:rPr>
              <w:t xml:space="preserve">Programme teams are responsible for updating programme handbooks and programme specifications on an annual basis and the accuracy </w:t>
            </w:r>
            <w:r w:rsidR="00F71A98">
              <w:rPr>
                <w:rFonts w:cs="Arial"/>
                <w:color w:val="auto"/>
                <w:szCs w:val="22"/>
              </w:rPr>
              <w:t xml:space="preserve">and completeness </w:t>
            </w:r>
            <w:r>
              <w:rPr>
                <w:rFonts w:cs="Arial"/>
                <w:color w:val="auto"/>
                <w:szCs w:val="22"/>
              </w:rPr>
              <w:t xml:space="preserve">of these is confirmed by HEDO prior to publication  </w:t>
            </w:r>
          </w:p>
          <w:p w:rsidR="003129CD" w:rsidRPr="005661EC" w:rsidRDefault="003129CD" w:rsidP="003129CD">
            <w:pPr>
              <w:pStyle w:val="ISEDbodytext"/>
              <w:spacing w:after="0"/>
              <w:ind w:left="1191"/>
              <w:rPr>
                <w:color w:val="auto"/>
                <w:szCs w:val="22"/>
              </w:rPr>
            </w:pPr>
          </w:p>
        </w:tc>
        <w:tc>
          <w:tcPr>
            <w:tcW w:w="1994" w:type="dxa"/>
          </w:tcPr>
          <w:p w:rsidR="00F72AE3" w:rsidRDefault="00F72AE3" w:rsidP="00F72AE3">
            <w:pPr>
              <w:pStyle w:val="BodyTextIndent2"/>
              <w:ind w:left="0"/>
              <w:rPr>
                <w:sz w:val="22"/>
                <w:szCs w:val="22"/>
              </w:rPr>
            </w:pPr>
            <w:r>
              <w:rPr>
                <w:sz w:val="22"/>
                <w:szCs w:val="22"/>
              </w:rPr>
              <w:t>Expectations for Quality</w:t>
            </w:r>
          </w:p>
          <w:p w:rsidR="00F72AE3" w:rsidRDefault="00F72AE3" w:rsidP="00F72AE3">
            <w:pPr>
              <w:pStyle w:val="BodyTextIndent2"/>
              <w:ind w:left="0"/>
              <w:rPr>
                <w:sz w:val="22"/>
                <w:szCs w:val="22"/>
              </w:rPr>
            </w:pPr>
            <w:r>
              <w:rPr>
                <w:sz w:val="22"/>
                <w:szCs w:val="22"/>
              </w:rPr>
              <w:t>Core Practices: 1</w:t>
            </w:r>
          </w:p>
          <w:p w:rsidR="00F72AE3" w:rsidRDefault="00F72AE3">
            <w:pPr>
              <w:pStyle w:val="BodyTextIndent2"/>
              <w:ind w:left="0"/>
              <w:rPr>
                <w:sz w:val="22"/>
                <w:szCs w:val="22"/>
              </w:rPr>
            </w:pPr>
          </w:p>
          <w:p w:rsidR="00F72AE3" w:rsidRDefault="00F72AE3">
            <w:pPr>
              <w:pStyle w:val="BodyTextIndent2"/>
              <w:ind w:left="0"/>
              <w:rPr>
                <w:sz w:val="22"/>
                <w:szCs w:val="22"/>
              </w:rPr>
            </w:pPr>
            <w:r>
              <w:rPr>
                <w:sz w:val="22"/>
                <w:szCs w:val="22"/>
              </w:rPr>
              <w:t>Guiding Principles:</w:t>
            </w:r>
          </w:p>
          <w:p w:rsidR="009E1645" w:rsidRPr="005661EC" w:rsidRDefault="00F72AE3">
            <w:pPr>
              <w:pStyle w:val="BodyTextIndent2"/>
              <w:ind w:left="0"/>
              <w:rPr>
                <w:sz w:val="22"/>
                <w:szCs w:val="22"/>
              </w:rPr>
            </w:pPr>
            <w:r>
              <w:rPr>
                <w:sz w:val="22"/>
                <w:szCs w:val="22"/>
              </w:rPr>
              <w:t>3, 4</w:t>
            </w:r>
            <w:r w:rsidR="00F87971">
              <w:rPr>
                <w:sz w:val="22"/>
                <w:szCs w:val="22"/>
              </w:rPr>
              <w:t xml:space="preserve"> </w:t>
            </w:r>
          </w:p>
        </w:tc>
      </w:tr>
      <w:tr w:rsidR="0012060E" w:rsidRPr="005661EC">
        <w:tc>
          <w:tcPr>
            <w:tcW w:w="1728" w:type="dxa"/>
          </w:tcPr>
          <w:p w:rsidR="0012060E" w:rsidRPr="005661EC" w:rsidRDefault="00175C66" w:rsidP="00175C66">
            <w:pPr>
              <w:pStyle w:val="BodyTextIndent2"/>
              <w:ind w:left="0"/>
              <w:rPr>
                <w:b/>
                <w:bCs/>
                <w:sz w:val="22"/>
                <w:szCs w:val="22"/>
              </w:rPr>
            </w:pPr>
            <w:r>
              <w:rPr>
                <w:b/>
                <w:bCs/>
                <w:sz w:val="22"/>
                <w:szCs w:val="22"/>
              </w:rPr>
              <w:t>Programme Information and Materials</w:t>
            </w:r>
          </w:p>
        </w:tc>
        <w:tc>
          <w:tcPr>
            <w:tcW w:w="5600" w:type="dxa"/>
          </w:tcPr>
          <w:p w:rsidR="004B39B4" w:rsidRDefault="00175C66" w:rsidP="00175C66">
            <w:pPr>
              <w:pStyle w:val="ISEDbodytext"/>
              <w:numPr>
                <w:ilvl w:val="0"/>
                <w:numId w:val="15"/>
              </w:numPr>
              <w:rPr>
                <w:rFonts w:cs="Arial"/>
                <w:color w:val="auto"/>
                <w:szCs w:val="22"/>
              </w:rPr>
            </w:pPr>
            <w:r>
              <w:rPr>
                <w:rFonts w:cs="Arial"/>
                <w:color w:val="auto"/>
                <w:szCs w:val="22"/>
              </w:rPr>
              <w:t>Programme teams are responsible for the annual updating of all programme materials provided via the VLE.  The accuracy of this will be confirmed by the</w:t>
            </w:r>
            <w:r w:rsidR="00F87971">
              <w:rPr>
                <w:rFonts w:cs="Arial"/>
                <w:color w:val="auto"/>
                <w:szCs w:val="22"/>
              </w:rPr>
              <w:t xml:space="preserve"> Programme Leaders;</w:t>
            </w:r>
          </w:p>
          <w:p w:rsidR="00F87971" w:rsidRPr="00175C66" w:rsidRDefault="00F87971" w:rsidP="00175C66">
            <w:pPr>
              <w:pStyle w:val="ISEDbodytext"/>
              <w:numPr>
                <w:ilvl w:val="0"/>
                <w:numId w:val="15"/>
              </w:numPr>
              <w:rPr>
                <w:rFonts w:cs="Arial"/>
                <w:color w:val="auto"/>
                <w:szCs w:val="22"/>
              </w:rPr>
            </w:pPr>
            <w:r>
              <w:rPr>
                <w:rFonts w:cs="Arial"/>
                <w:color w:val="auto"/>
                <w:szCs w:val="22"/>
              </w:rPr>
              <w:t xml:space="preserve">Module information will be updated on an annual basis and the </w:t>
            </w:r>
            <w:r w:rsidR="00F71A98">
              <w:rPr>
                <w:rFonts w:cs="Arial"/>
                <w:color w:val="auto"/>
                <w:szCs w:val="22"/>
              </w:rPr>
              <w:t xml:space="preserve">accessibility and </w:t>
            </w:r>
            <w:r>
              <w:rPr>
                <w:rFonts w:cs="Arial"/>
                <w:color w:val="auto"/>
                <w:szCs w:val="22"/>
              </w:rPr>
              <w:t>accuracy of this confirmed by the Programme Leaders;</w:t>
            </w:r>
          </w:p>
        </w:tc>
        <w:tc>
          <w:tcPr>
            <w:tcW w:w="1994" w:type="dxa"/>
          </w:tcPr>
          <w:p w:rsidR="00F72AE3" w:rsidRDefault="00F72AE3" w:rsidP="00F72AE3">
            <w:pPr>
              <w:pStyle w:val="BodyTextIndent2"/>
              <w:ind w:left="0"/>
              <w:rPr>
                <w:sz w:val="22"/>
                <w:szCs w:val="22"/>
              </w:rPr>
            </w:pPr>
            <w:r>
              <w:rPr>
                <w:sz w:val="22"/>
                <w:szCs w:val="22"/>
              </w:rPr>
              <w:t>Expectations for Quality</w:t>
            </w:r>
          </w:p>
          <w:p w:rsidR="00F72AE3" w:rsidRDefault="00F72AE3" w:rsidP="00F72AE3">
            <w:pPr>
              <w:pStyle w:val="BodyTextIndent2"/>
              <w:ind w:left="0"/>
              <w:rPr>
                <w:sz w:val="22"/>
                <w:szCs w:val="22"/>
              </w:rPr>
            </w:pPr>
            <w:r>
              <w:rPr>
                <w:sz w:val="22"/>
                <w:szCs w:val="22"/>
              </w:rPr>
              <w:t>Core Practices: 1</w:t>
            </w:r>
          </w:p>
          <w:p w:rsidR="00F72AE3" w:rsidRDefault="00F72AE3" w:rsidP="00F72AE3">
            <w:pPr>
              <w:pStyle w:val="BodyTextIndent2"/>
              <w:ind w:left="0"/>
              <w:rPr>
                <w:sz w:val="22"/>
                <w:szCs w:val="22"/>
              </w:rPr>
            </w:pPr>
          </w:p>
          <w:p w:rsidR="00F72AE3" w:rsidRDefault="00F72AE3" w:rsidP="00F72AE3">
            <w:pPr>
              <w:pStyle w:val="BodyTextIndent2"/>
              <w:ind w:left="0"/>
              <w:rPr>
                <w:sz w:val="22"/>
                <w:szCs w:val="22"/>
              </w:rPr>
            </w:pPr>
            <w:r>
              <w:rPr>
                <w:sz w:val="22"/>
                <w:szCs w:val="22"/>
              </w:rPr>
              <w:t>Guiding Principles:</w:t>
            </w:r>
          </w:p>
          <w:p w:rsidR="0012060E" w:rsidRPr="005661EC" w:rsidRDefault="00F72AE3" w:rsidP="00F72AE3">
            <w:pPr>
              <w:pStyle w:val="BodyTextIndent2"/>
              <w:ind w:left="0"/>
              <w:rPr>
                <w:sz w:val="22"/>
                <w:szCs w:val="22"/>
              </w:rPr>
            </w:pPr>
            <w:r>
              <w:rPr>
                <w:sz w:val="22"/>
                <w:szCs w:val="22"/>
              </w:rPr>
              <w:t>3, 4</w:t>
            </w:r>
          </w:p>
        </w:tc>
      </w:tr>
      <w:tr w:rsidR="00F87971" w:rsidRPr="005661EC" w:rsidTr="00F71A98">
        <w:tc>
          <w:tcPr>
            <w:tcW w:w="1728" w:type="dxa"/>
          </w:tcPr>
          <w:p w:rsidR="00F87971" w:rsidRPr="005661EC" w:rsidRDefault="00F87971" w:rsidP="00F87971">
            <w:pPr>
              <w:pStyle w:val="BodyTextIndent2"/>
              <w:ind w:left="0"/>
              <w:rPr>
                <w:b/>
                <w:bCs/>
                <w:sz w:val="22"/>
                <w:szCs w:val="22"/>
              </w:rPr>
            </w:pPr>
            <w:r>
              <w:rPr>
                <w:b/>
                <w:bCs/>
                <w:sz w:val="22"/>
                <w:szCs w:val="22"/>
              </w:rPr>
              <w:t>Confirmation of Results</w:t>
            </w:r>
          </w:p>
        </w:tc>
        <w:tc>
          <w:tcPr>
            <w:tcW w:w="5600" w:type="dxa"/>
          </w:tcPr>
          <w:p w:rsidR="00F87971" w:rsidRDefault="00F87971" w:rsidP="00F71A98">
            <w:pPr>
              <w:pStyle w:val="ISEDbodytext"/>
              <w:numPr>
                <w:ilvl w:val="0"/>
                <w:numId w:val="15"/>
              </w:numPr>
              <w:rPr>
                <w:rFonts w:cs="Arial"/>
                <w:color w:val="auto"/>
                <w:szCs w:val="22"/>
              </w:rPr>
            </w:pPr>
            <w:r>
              <w:rPr>
                <w:rFonts w:cs="Arial"/>
                <w:color w:val="auto"/>
                <w:szCs w:val="22"/>
              </w:rPr>
              <w:t>The accuracy of all results are confirmed by programme teams prior to ratification by the Exam Committee/Board structures;</w:t>
            </w:r>
          </w:p>
          <w:p w:rsidR="00F87971" w:rsidRPr="00F87971" w:rsidRDefault="00F87971" w:rsidP="00F87971">
            <w:pPr>
              <w:pStyle w:val="ISEDbodytext"/>
              <w:numPr>
                <w:ilvl w:val="0"/>
                <w:numId w:val="15"/>
              </w:numPr>
              <w:rPr>
                <w:rFonts w:cs="Arial"/>
                <w:color w:val="auto"/>
                <w:szCs w:val="22"/>
              </w:rPr>
            </w:pPr>
            <w:r>
              <w:rPr>
                <w:rFonts w:cs="Arial"/>
                <w:color w:val="auto"/>
                <w:szCs w:val="22"/>
              </w:rPr>
              <w:t>Results are communicated to students within 10 working days, with official transcripts made available subsequently.</w:t>
            </w:r>
          </w:p>
        </w:tc>
        <w:tc>
          <w:tcPr>
            <w:tcW w:w="1994" w:type="dxa"/>
          </w:tcPr>
          <w:p w:rsidR="00F87971" w:rsidRPr="005661EC" w:rsidRDefault="00F87971" w:rsidP="00F87971">
            <w:pPr>
              <w:pStyle w:val="BodyTextIndent2"/>
              <w:ind w:left="0"/>
              <w:rPr>
                <w:sz w:val="22"/>
                <w:szCs w:val="22"/>
              </w:rPr>
            </w:pPr>
          </w:p>
        </w:tc>
      </w:tr>
      <w:tr w:rsidR="009E1645" w:rsidRPr="005661EC">
        <w:tc>
          <w:tcPr>
            <w:tcW w:w="1728" w:type="dxa"/>
          </w:tcPr>
          <w:p w:rsidR="009E1645" w:rsidRPr="005661EC" w:rsidRDefault="009E1645">
            <w:pPr>
              <w:pStyle w:val="BodyTextIndent2"/>
              <w:ind w:left="0"/>
              <w:rPr>
                <w:b/>
                <w:bCs/>
                <w:sz w:val="22"/>
                <w:szCs w:val="22"/>
              </w:rPr>
            </w:pPr>
            <w:r w:rsidRPr="005661EC">
              <w:rPr>
                <w:b/>
                <w:bCs/>
                <w:sz w:val="22"/>
                <w:szCs w:val="22"/>
              </w:rPr>
              <w:t>Staff Development and Training</w:t>
            </w:r>
          </w:p>
        </w:tc>
        <w:tc>
          <w:tcPr>
            <w:tcW w:w="5600" w:type="dxa"/>
          </w:tcPr>
          <w:p w:rsidR="009E1645" w:rsidRPr="005661EC" w:rsidRDefault="009E1645">
            <w:pPr>
              <w:pStyle w:val="BodyTextIndent2"/>
              <w:ind w:left="0"/>
              <w:rPr>
                <w:sz w:val="22"/>
                <w:szCs w:val="22"/>
              </w:rPr>
            </w:pPr>
            <w:r w:rsidRPr="005661EC">
              <w:rPr>
                <w:sz w:val="22"/>
                <w:szCs w:val="22"/>
              </w:rPr>
              <w:t xml:space="preserve">All staff associated with the </w:t>
            </w:r>
            <w:r w:rsidR="00F87971">
              <w:rPr>
                <w:sz w:val="22"/>
                <w:szCs w:val="22"/>
              </w:rPr>
              <w:t xml:space="preserve">production of </w:t>
            </w:r>
            <w:r w:rsidR="000046DC">
              <w:rPr>
                <w:sz w:val="22"/>
                <w:szCs w:val="22"/>
              </w:rPr>
              <w:t>published information</w:t>
            </w:r>
            <w:r w:rsidRPr="005661EC">
              <w:rPr>
                <w:sz w:val="22"/>
                <w:szCs w:val="22"/>
              </w:rPr>
              <w:t xml:space="preserve"> will be given appropriate training and development and meet the requirements of the awarding body and where appropriate, the Quality Assurance Agency </w:t>
            </w:r>
            <w:r w:rsidR="00F87971">
              <w:rPr>
                <w:sz w:val="22"/>
                <w:szCs w:val="22"/>
              </w:rPr>
              <w:t>Quality Code</w:t>
            </w:r>
            <w:r w:rsidRPr="005661EC">
              <w:rPr>
                <w:sz w:val="22"/>
                <w:szCs w:val="22"/>
              </w:rPr>
              <w:t>.</w:t>
            </w:r>
          </w:p>
          <w:p w:rsidR="009E1645" w:rsidRPr="005661EC" w:rsidRDefault="009E1645">
            <w:pPr>
              <w:pStyle w:val="BodyTextIndent2"/>
              <w:ind w:left="0"/>
              <w:rPr>
                <w:sz w:val="22"/>
                <w:szCs w:val="22"/>
              </w:rPr>
            </w:pPr>
          </w:p>
        </w:tc>
        <w:tc>
          <w:tcPr>
            <w:tcW w:w="1994" w:type="dxa"/>
          </w:tcPr>
          <w:p w:rsidR="009E1645" w:rsidRDefault="00F72AE3" w:rsidP="004B39B4">
            <w:pPr>
              <w:pStyle w:val="BodyTextIndent2"/>
              <w:ind w:left="0"/>
              <w:rPr>
                <w:sz w:val="22"/>
                <w:szCs w:val="22"/>
              </w:rPr>
            </w:pPr>
            <w:r>
              <w:rPr>
                <w:sz w:val="22"/>
                <w:szCs w:val="22"/>
              </w:rPr>
              <w:t>Guiding Principles:</w:t>
            </w:r>
          </w:p>
          <w:p w:rsidR="00F72AE3" w:rsidRDefault="00F72AE3" w:rsidP="004B39B4">
            <w:pPr>
              <w:pStyle w:val="BodyTextIndent2"/>
              <w:ind w:left="0"/>
              <w:rPr>
                <w:sz w:val="22"/>
                <w:szCs w:val="22"/>
              </w:rPr>
            </w:pPr>
            <w:r>
              <w:rPr>
                <w:sz w:val="22"/>
                <w:szCs w:val="22"/>
              </w:rPr>
              <w:t>5</w:t>
            </w:r>
          </w:p>
          <w:p w:rsidR="00F72AE3" w:rsidRPr="005661EC" w:rsidRDefault="00F72AE3" w:rsidP="004B39B4">
            <w:pPr>
              <w:pStyle w:val="BodyTextIndent2"/>
              <w:ind w:left="0"/>
              <w:rPr>
                <w:sz w:val="22"/>
                <w:szCs w:val="22"/>
              </w:rPr>
            </w:pPr>
          </w:p>
        </w:tc>
      </w:tr>
      <w:tr w:rsidR="009E1645" w:rsidRPr="005661EC">
        <w:tc>
          <w:tcPr>
            <w:tcW w:w="1728" w:type="dxa"/>
          </w:tcPr>
          <w:p w:rsidR="009E1645" w:rsidRPr="005661EC" w:rsidRDefault="009E1645">
            <w:pPr>
              <w:pStyle w:val="BodyTextIndent2"/>
              <w:ind w:left="0"/>
              <w:rPr>
                <w:b/>
                <w:bCs/>
                <w:sz w:val="22"/>
                <w:szCs w:val="22"/>
              </w:rPr>
            </w:pPr>
            <w:r w:rsidRPr="005661EC">
              <w:rPr>
                <w:b/>
                <w:bCs/>
                <w:sz w:val="22"/>
                <w:szCs w:val="22"/>
              </w:rPr>
              <w:t>Equality and Diversity Statement</w:t>
            </w:r>
          </w:p>
        </w:tc>
        <w:tc>
          <w:tcPr>
            <w:tcW w:w="5600" w:type="dxa"/>
          </w:tcPr>
          <w:p w:rsidR="009E1645" w:rsidRPr="005661EC" w:rsidRDefault="009E1645">
            <w:pPr>
              <w:pStyle w:val="BodyTextIndent2"/>
              <w:ind w:left="0"/>
              <w:rPr>
                <w:sz w:val="22"/>
                <w:szCs w:val="22"/>
              </w:rPr>
            </w:pPr>
            <w:r w:rsidRPr="005661EC">
              <w:rPr>
                <w:sz w:val="22"/>
                <w:szCs w:val="22"/>
              </w:rPr>
              <w:t>This policy will be implemented in accordance with the College’s Policy on Valuing Diversi</w:t>
            </w:r>
            <w:r w:rsidR="00C56C02" w:rsidRPr="005661EC">
              <w:rPr>
                <w:sz w:val="22"/>
                <w:szCs w:val="22"/>
              </w:rPr>
              <w:t xml:space="preserve">ty and with consideration of </w:t>
            </w:r>
            <w:r w:rsidR="000046DC">
              <w:rPr>
                <w:sz w:val="22"/>
                <w:szCs w:val="22"/>
              </w:rPr>
              <w:t>published information</w:t>
            </w:r>
            <w:r w:rsidRPr="005661EC">
              <w:rPr>
                <w:sz w:val="22"/>
                <w:szCs w:val="22"/>
              </w:rPr>
              <w:t xml:space="preserve"> guidelines set out by awarding bodies and where appropriate, the QAA </w:t>
            </w:r>
            <w:r w:rsidR="00AE1984" w:rsidRPr="00F87971">
              <w:rPr>
                <w:sz w:val="22"/>
                <w:szCs w:val="22"/>
              </w:rPr>
              <w:t>Quality Code</w:t>
            </w:r>
            <w:r w:rsidR="005B3995">
              <w:rPr>
                <w:sz w:val="22"/>
                <w:szCs w:val="22"/>
              </w:rPr>
              <w:t>.</w:t>
            </w:r>
          </w:p>
          <w:p w:rsidR="009E1645" w:rsidRPr="005661EC" w:rsidRDefault="009E1645">
            <w:pPr>
              <w:pStyle w:val="BodyTextIndent2"/>
              <w:ind w:left="0"/>
              <w:rPr>
                <w:sz w:val="22"/>
                <w:szCs w:val="22"/>
              </w:rPr>
            </w:pPr>
          </w:p>
        </w:tc>
        <w:tc>
          <w:tcPr>
            <w:tcW w:w="1994" w:type="dxa"/>
          </w:tcPr>
          <w:p w:rsidR="00F72AE3" w:rsidRDefault="00F72AE3" w:rsidP="00F72AE3">
            <w:pPr>
              <w:pStyle w:val="BodyTextIndent2"/>
              <w:ind w:left="0"/>
              <w:rPr>
                <w:sz w:val="22"/>
                <w:szCs w:val="22"/>
              </w:rPr>
            </w:pPr>
            <w:r>
              <w:rPr>
                <w:sz w:val="22"/>
                <w:szCs w:val="22"/>
              </w:rPr>
              <w:lastRenderedPageBreak/>
              <w:t>Guiding Principles:</w:t>
            </w:r>
          </w:p>
          <w:p w:rsidR="00F72AE3" w:rsidRDefault="00F72AE3" w:rsidP="00F72AE3">
            <w:pPr>
              <w:pStyle w:val="BodyTextIndent2"/>
              <w:ind w:left="0"/>
              <w:rPr>
                <w:sz w:val="22"/>
                <w:szCs w:val="22"/>
              </w:rPr>
            </w:pPr>
            <w:r>
              <w:rPr>
                <w:sz w:val="22"/>
                <w:szCs w:val="22"/>
              </w:rPr>
              <w:t>6</w:t>
            </w:r>
          </w:p>
          <w:p w:rsidR="009E1645" w:rsidRPr="005661EC" w:rsidRDefault="009E1645">
            <w:pPr>
              <w:pStyle w:val="BodyTextIndent2"/>
              <w:ind w:left="0"/>
              <w:rPr>
                <w:sz w:val="22"/>
                <w:szCs w:val="22"/>
              </w:rPr>
            </w:pPr>
          </w:p>
        </w:tc>
      </w:tr>
      <w:tr w:rsidR="00A62F54" w:rsidRPr="005661EC" w:rsidTr="00A62F54">
        <w:tc>
          <w:tcPr>
            <w:tcW w:w="1728" w:type="dxa"/>
            <w:tcBorders>
              <w:top w:val="single" w:sz="4" w:space="0" w:color="auto"/>
              <w:left w:val="single" w:sz="4" w:space="0" w:color="auto"/>
              <w:bottom w:val="single" w:sz="4" w:space="0" w:color="auto"/>
              <w:right w:val="single" w:sz="4" w:space="0" w:color="auto"/>
            </w:tcBorders>
          </w:tcPr>
          <w:p w:rsidR="00A62F54" w:rsidRPr="005661EC" w:rsidRDefault="00A62F54" w:rsidP="00F71A98">
            <w:pPr>
              <w:pStyle w:val="BodyTextIndent2"/>
              <w:ind w:left="0"/>
              <w:rPr>
                <w:b/>
                <w:bCs/>
                <w:sz w:val="22"/>
                <w:szCs w:val="22"/>
              </w:rPr>
            </w:pPr>
            <w:r>
              <w:rPr>
                <w:b/>
                <w:bCs/>
                <w:sz w:val="22"/>
                <w:szCs w:val="22"/>
              </w:rPr>
              <w:t>Monitoring and Review</w:t>
            </w:r>
          </w:p>
        </w:tc>
        <w:tc>
          <w:tcPr>
            <w:tcW w:w="5600" w:type="dxa"/>
            <w:tcBorders>
              <w:top w:val="single" w:sz="4" w:space="0" w:color="auto"/>
              <w:left w:val="single" w:sz="4" w:space="0" w:color="auto"/>
              <w:bottom w:val="single" w:sz="4" w:space="0" w:color="auto"/>
              <w:right w:val="single" w:sz="4" w:space="0" w:color="auto"/>
            </w:tcBorders>
          </w:tcPr>
          <w:p w:rsidR="00A62F54" w:rsidRPr="005661EC" w:rsidRDefault="00A62F54" w:rsidP="00F71A98">
            <w:pPr>
              <w:pStyle w:val="BodyTextIndent2"/>
              <w:ind w:left="0"/>
              <w:rPr>
                <w:sz w:val="22"/>
                <w:szCs w:val="22"/>
              </w:rPr>
            </w:pPr>
            <w:r>
              <w:rPr>
                <w:sz w:val="22"/>
                <w:szCs w:val="22"/>
              </w:rPr>
              <w:t>The College will regularly monitor and review this policy and its associated procedures to assess the effectiveness of its implementation and outcomes</w:t>
            </w:r>
            <w:r w:rsidR="005B3995">
              <w:rPr>
                <w:sz w:val="22"/>
                <w:szCs w:val="22"/>
              </w:rPr>
              <w:t>.</w:t>
            </w:r>
          </w:p>
          <w:p w:rsidR="00A62F54" w:rsidRPr="005661EC" w:rsidRDefault="00A62F54" w:rsidP="00F71A98">
            <w:pPr>
              <w:pStyle w:val="BodyTextIndent2"/>
              <w:ind w:left="0"/>
              <w:rPr>
                <w:sz w:val="22"/>
                <w:szCs w:val="22"/>
              </w:rPr>
            </w:pPr>
          </w:p>
        </w:tc>
        <w:tc>
          <w:tcPr>
            <w:tcW w:w="1994" w:type="dxa"/>
            <w:tcBorders>
              <w:top w:val="single" w:sz="4" w:space="0" w:color="auto"/>
              <w:left w:val="single" w:sz="4" w:space="0" w:color="auto"/>
              <w:bottom w:val="single" w:sz="4" w:space="0" w:color="auto"/>
              <w:right w:val="single" w:sz="4" w:space="0" w:color="auto"/>
            </w:tcBorders>
          </w:tcPr>
          <w:p w:rsidR="00F72AE3" w:rsidRDefault="00F72AE3" w:rsidP="00F72AE3">
            <w:pPr>
              <w:pStyle w:val="BodyTextIndent2"/>
              <w:ind w:left="0"/>
              <w:rPr>
                <w:sz w:val="22"/>
                <w:szCs w:val="22"/>
              </w:rPr>
            </w:pPr>
            <w:r>
              <w:rPr>
                <w:sz w:val="22"/>
                <w:szCs w:val="22"/>
              </w:rPr>
              <w:t>Guiding Principles:</w:t>
            </w:r>
          </w:p>
          <w:p w:rsidR="00F72AE3" w:rsidRDefault="00F72AE3" w:rsidP="00F72AE3">
            <w:pPr>
              <w:pStyle w:val="BodyTextIndent2"/>
              <w:ind w:left="0"/>
              <w:rPr>
                <w:sz w:val="22"/>
                <w:szCs w:val="22"/>
              </w:rPr>
            </w:pPr>
            <w:r>
              <w:rPr>
                <w:sz w:val="22"/>
                <w:szCs w:val="22"/>
              </w:rPr>
              <w:t>6</w:t>
            </w:r>
          </w:p>
          <w:p w:rsidR="00A62F54" w:rsidRPr="005661EC" w:rsidRDefault="00A62F54" w:rsidP="00F71A98">
            <w:pPr>
              <w:pStyle w:val="BodyTextIndent2"/>
              <w:ind w:left="0"/>
              <w:rPr>
                <w:sz w:val="22"/>
                <w:szCs w:val="22"/>
              </w:rPr>
            </w:pPr>
            <w:bookmarkStart w:id="0" w:name="_GoBack"/>
            <w:bookmarkEnd w:id="0"/>
          </w:p>
        </w:tc>
      </w:tr>
      <w:tr w:rsidR="00E9732C" w:rsidTr="00E9732C">
        <w:tc>
          <w:tcPr>
            <w:tcW w:w="1728" w:type="dxa"/>
            <w:tcBorders>
              <w:top w:val="single" w:sz="4" w:space="0" w:color="auto"/>
              <w:left w:val="single" w:sz="4" w:space="0" w:color="auto"/>
              <w:bottom w:val="single" w:sz="4" w:space="0" w:color="auto"/>
              <w:right w:val="single" w:sz="4" w:space="0" w:color="auto"/>
            </w:tcBorders>
          </w:tcPr>
          <w:p w:rsidR="00E9732C" w:rsidRDefault="00E9732C" w:rsidP="00E9732C">
            <w:pPr>
              <w:pStyle w:val="BodyTextIndent2"/>
              <w:ind w:left="0"/>
              <w:rPr>
                <w:b/>
                <w:bCs/>
                <w:sz w:val="22"/>
                <w:szCs w:val="22"/>
              </w:rPr>
            </w:pPr>
            <w:r>
              <w:rPr>
                <w:b/>
                <w:bCs/>
                <w:sz w:val="22"/>
                <w:szCs w:val="22"/>
              </w:rPr>
              <w:t>Associated Documentation</w:t>
            </w:r>
          </w:p>
        </w:tc>
        <w:tc>
          <w:tcPr>
            <w:tcW w:w="5600" w:type="dxa"/>
            <w:tcBorders>
              <w:top w:val="single" w:sz="4" w:space="0" w:color="auto"/>
              <w:left w:val="single" w:sz="4" w:space="0" w:color="auto"/>
              <w:bottom w:val="single" w:sz="4" w:space="0" w:color="auto"/>
              <w:right w:val="single" w:sz="4" w:space="0" w:color="auto"/>
            </w:tcBorders>
          </w:tcPr>
          <w:p w:rsidR="00E9732C" w:rsidRDefault="00E9732C" w:rsidP="00E9732C">
            <w:pPr>
              <w:pStyle w:val="BodyTextIndent2"/>
              <w:numPr>
                <w:ilvl w:val="0"/>
                <w:numId w:val="17"/>
              </w:numPr>
              <w:rPr>
                <w:sz w:val="22"/>
                <w:szCs w:val="22"/>
              </w:rPr>
            </w:pPr>
            <w:r>
              <w:rPr>
                <w:sz w:val="22"/>
                <w:szCs w:val="22"/>
              </w:rPr>
              <w:t>Published Information Responsibilities Overview</w:t>
            </w:r>
          </w:p>
        </w:tc>
        <w:tc>
          <w:tcPr>
            <w:tcW w:w="1994" w:type="dxa"/>
            <w:tcBorders>
              <w:top w:val="single" w:sz="4" w:space="0" w:color="auto"/>
              <w:left w:val="single" w:sz="4" w:space="0" w:color="auto"/>
              <w:bottom w:val="single" w:sz="4" w:space="0" w:color="auto"/>
              <w:right w:val="single" w:sz="4" w:space="0" w:color="auto"/>
            </w:tcBorders>
          </w:tcPr>
          <w:p w:rsidR="00E9732C" w:rsidRDefault="00E9732C">
            <w:pPr>
              <w:pStyle w:val="BodyTextIndent2"/>
              <w:ind w:left="0"/>
              <w:rPr>
                <w:sz w:val="22"/>
                <w:szCs w:val="22"/>
              </w:rPr>
            </w:pPr>
          </w:p>
        </w:tc>
      </w:tr>
    </w:tbl>
    <w:p w:rsidR="00A62F54" w:rsidRPr="00A62F54" w:rsidRDefault="00A62F54" w:rsidP="00A62F54">
      <w:pPr>
        <w:rPr>
          <w:lang w:eastAsia="en-GB"/>
        </w:rPr>
      </w:pPr>
    </w:p>
    <w:sectPr w:rsidR="00A62F54" w:rsidRPr="00A62F54" w:rsidSect="004B39B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A98" w:rsidRDefault="00F71A98" w:rsidP="00AB54CE">
      <w:r>
        <w:separator/>
      </w:r>
    </w:p>
  </w:endnote>
  <w:endnote w:type="continuationSeparator" w:id="0">
    <w:p w:rsidR="00F71A98" w:rsidRDefault="00F71A98" w:rsidP="00AB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A98" w:rsidRPr="00CE7E66" w:rsidRDefault="00CE7E66">
    <w:pPr>
      <w:pStyle w:val="Footer"/>
      <w:rPr>
        <w:sz w:val="16"/>
        <w:szCs w:val="16"/>
      </w:rPr>
    </w:pPr>
    <w:r>
      <w:rPr>
        <w:sz w:val="16"/>
        <w:szCs w:val="16"/>
      </w:rPr>
      <w:t xml:space="preserve">Version </w:t>
    </w:r>
    <w:r w:rsidR="00F72AE3">
      <w:rPr>
        <w:sz w:val="16"/>
        <w:szCs w:val="16"/>
      </w:rPr>
      <w:t>2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A98" w:rsidRDefault="00F71A98" w:rsidP="00AB54CE">
      <w:r>
        <w:separator/>
      </w:r>
    </w:p>
  </w:footnote>
  <w:footnote w:type="continuationSeparator" w:id="0">
    <w:p w:rsidR="00F71A98" w:rsidRDefault="00F71A98" w:rsidP="00AB54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5A1C"/>
    <w:multiLevelType w:val="hybridMultilevel"/>
    <w:tmpl w:val="4326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C097E"/>
    <w:multiLevelType w:val="hybridMultilevel"/>
    <w:tmpl w:val="C40EF0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872BCE"/>
    <w:multiLevelType w:val="hybridMultilevel"/>
    <w:tmpl w:val="639844F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BF243F9"/>
    <w:multiLevelType w:val="hybridMultilevel"/>
    <w:tmpl w:val="B004339E"/>
    <w:lvl w:ilvl="0" w:tplc="D2FCCF10">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671BB"/>
    <w:multiLevelType w:val="hybridMultilevel"/>
    <w:tmpl w:val="AB4C2080"/>
    <w:lvl w:ilvl="0" w:tplc="D2FCCF10">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130B7"/>
    <w:multiLevelType w:val="hybridMultilevel"/>
    <w:tmpl w:val="1DDE1E4A"/>
    <w:lvl w:ilvl="0" w:tplc="D2FCCF10">
      <w:start w:val="1"/>
      <w:numFmt w:val="bullet"/>
      <w:lvlText w:val=""/>
      <w:lvlJc w:val="left"/>
      <w:pPr>
        <w:tabs>
          <w:tab w:val="num" w:pos="471"/>
        </w:tabs>
        <w:ind w:left="471" w:hanging="471"/>
      </w:pPr>
      <w:rPr>
        <w:rFonts w:ascii="Wingdings" w:hAnsi="Wingdings" w:hint="default"/>
        <w:sz w:val="16"/>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0F0284"/>
    <w:multiLevelType w:val="hybridMultilevel"/>
    <w:tmpl w:val="77102B6C"/>
    <w:lvl w:ilvl="0" w:tplc="D2FCCF10">
      <w:start w:val="1"/>
      <w:numFmt w:val="bullet"/>
      <w:lvlText w:val=""/>
      <w:lvlJc w:val="left"/>
      <w:pPr>
        <w:ind w:left="720" w:hanging="360"/>
      </w:pPr>
      <w:rPr>
        <w:rFonts w:ascii="Wingdings" w:hAnsi="Wingdings"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802C4"/>
    <w:multiLevelType w:val="hybridMultilevel"/>
    <w:tmpl w:val="7DFCB86E"/>
    <w:lvl w:ilvl="0" w:tplc="D2FCCF10">
      <w:start w:val="1"/>
      <w:numFmt w:val="bullet"/>
      <w:lvlText w:val=""/>
      <w:lvlJc w:val="left"/>
      <w:pPr>
        <w:tabs>
          <w:tab w:val="num" w:pos="471"/>
        </w:tabs>
        <w:ind w:left="471" w:hanging="471"/>
      </w:pPr>
      <w:rPr>
        <w:rFonts w:ascii="Wingdings" w:hAnsi="Wingdings" w:hint="default"/>
        <w:sz w:val="16"/>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E64128"/>
    <w:multiLevelType w:val="hybridMultilevel"/>
    <w:tmpl w:val="A0927B24"/>
    <w:lvl w:ilvl="0" w:tplc="D2FCCF10">
      <w:start w:val="1"/>
      <w:numFmt w:val="bullet"/>
      <w:lvlText w:val=""/>
      <w:lvlJc w:val="left"/>
      <w:pPr>
        <w:tabs>
          <w:tab w:val="num" w:pos="471"/>
        </w:tabs>
        <w:ind w:left="471" w:hanging="471"/>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0A51C6"/>
    <w:multiLevelType w:val="hybridMultilevel"/>
    <w:tmpl w:val="B79EA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087848"/>
    <w:multiLevelType w:val="hybridMultilevel"/>
    <w:tmpl w:val="69D2F600"/>
    <w:lvl w:ilvl="0" w:tplc="D2FCCF10">
      <w:start w:val="1"/>
      <w:numFmt w:val="bullet"/>
      <w:lvlText w:val=""/>
      <w:lvlJc w:val="left"/>
      <w:pPr>
        <w:tabs>
          <w:tab w:val="num" w:pos="1191"/>
        </w:tabs>
        <w:ind w:left="1191" w:hanging="471"/>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67D65A1"/>
    <w:multiLevelType w:val="hybridMultilevel"/>
    <w:tmpl w:val="23C48F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46F561D1"/>
    <w:multiLevelType w:val="hybridMultilevel"/>
    <w:tmpl w:val="A14EC10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3" w15:restartNumberingAfterBreak="0">
    <w:nsid w:val="578B4B0B"/>
    <w:multiLevelType w:val="hybridMultilevel"/>
    <w:tmpl w:val="51DCE6F2"/>
    <w:lvl w:ilvl="0" w:tplc="0409000F">
      <w:start w:val="1"/>
      <w:numFmt w:val="decimal"/>
      <w:pStyle w:val="SubHeading"/>
      <w:lvlText w:val="%1."/>
      <w:lvlJc w:val="left"/>
      <w:pPr>
        <w:tabs>
          <w:tab w:val="num" w:pos="360"/>
        </w:tabs>
        <w:ind w:left="360" w:hanging="360"/>
      </w:pPr>
    </w:lvl>
    <w:lvl w:ilvl="1" w:tplc="D2FCCF10">
      <w:start w:val="1"/>
      <w:numFmt w:val="bullet"/>
      <w:lvlText w:val=""/>
      <w:lvlJc w:val="left"/>
      <w:pPr>
        <w:tabs>
          <w:tab w:val="num" w:pos="1191"/>
        </w:tabs>
        <w:ind w:left="1191" w:hanging="471"/>
      </w:pPr>
      <w:rPr>
        <w:rFonts w:ascii="Wingdings" w:hAnsi="Wingdings"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64B95D79"/>
    <w:multiLevelType w:val="hybridMultilevel"/>
    <w:tmpl w:val="8D6000F0"/>
    <w:lvl w:ilvl="0" w:tplc="08090001">
      <w:start w:val="1"/>
      <w:numFmt w:val="bullet"/>
      <w:lvlText w:val=""/>
      <w:lvlJc w:val="left"/>
      <w:pPr>
        <w:tabs>
          <w:tab w:val="num" w:pos="360"/>
        </w:tabs>
        <w:ind w:left="360" w:hanging="360"/>
      </w:pPr>
      <w:rPr>
        <w:rFonts w:ascii="Symbol" w:hAnsi="Symbol" w:hint="default"/>
      </w:rPr>
    </w:lvl>
    <w:lvl w:ilvl="1" w:tplc="D2FCCF10">
      <w:start w:val="1"/>
      <w:numFmt w:val="bullet"/>
      <w:lvlText w:val=""/>
      <w:lvlJc w:val="left"/>
      <w:pPr>
        <w:tabs>
          <w:tab w:val="num" w:pos="1191"/>
        </w:tabs>
        <w:ind w:left="1191" w:hanging="471"/>
      </w:pPr>
      <w:rPr>
        <w:rFonts w:ascii="Wingdings" w:hAnsi="Wingdings" w:hint="default"/>
        <w:sz w:val="16"/>
      </w:rPr>
    </w:lvl>
    <w:lvl w:ilvl="2" w:tplc="1CEAB8D8">
      <w:start w:val="1"/>
      <w:numFmt w:val="decimal"/>
      <w:lvlText w:val="%3."/>
      <w:lvlJc w:val="left"/>
      <w:pPr>
        <w:tabs>
          <w:tab w:val="num" w:pos="1837"/>
        </w:tabs>
        <w:ind w:left="1837" w:hanging="397"/>
      </w:pPr>
      <w:rPr>
        <w:rFont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EB96EDA"/>
    <w:multiLevelType w:val="hybridMultilevel"/>
    <w:tmpl w:val="F3A6CE0E"/>
    <w:lvl w:ilvl="0" w:tplc="D2FCCF10">
      <w:start w:val="1"/>
      <w:numFmt w:val="bullet"/>
      <w:lvlText w:val=""/>
      <w:lvlJc w:val="left"/>
      <w:pPr>
        <w:tabs>
          <w:tab w:val="num" w:pos="942"/>
        </w:tabs>
        <w:ind w:left="942" w:hanging="471"/>
      </w:pPr>
      <w:rPr>
        <w:rFonts w:ascii="Wingdings" w:hAnsi="Wingdings" w:hint="default"/>
        <w:sz w:val="16"/>
      </w:rPr>
    </w:lvl>
    <w:lvl w:ilvl="1" w:tplc="04090003" w:tentative="1">
      <w:start w:val="1"/>
      <w:numFmt w:val="bullet"/>
      <w:lvlText w:val="o"/>
      <w:lvlJc w:val="left"/>
      <w:pPr>
        <w:tabs>
          <w:tab w:val="num" w:pos="1911"/>
        </w:tabs>
        <w:ind w:left="1911" w:hanging="360"/>
      </w:pPr>
      <w:rPr>
        <w:rFonts w:ascii="Courier New" w:hAnsi="Courier New" w:hint="default"/>
      </w:rPr>
    </w:lvl>
    <w:lvl w:ilvl="2" w:tplc="04090005" w:tentative="1">
      <w:start w:val="1"/>
      <w:numFmt w:val="bullet"/>
      <w:lvlText w:val=""/>
      <w:lvlJc w:val="left"/>
      <w:pPr>
        <w:tabs>
          <w:tab w:val="num" w:pos="2631"/>
        </w:tabs>
        <w:ind w:left="2631" w:hanging="360"/>
      </w:pPr>
      <w:rPr>
        <w:rFonts w:ascii="Wingdings" w:hAnsi="Wingdings" w:hint="default"/>
      </w:rPr>
    </w:lvl>
    <w:lvl w:ilvl="3" w:tplc="04090001" w:tentative="1">
      <w:start w:val="1"/>
      <w:numFmt w:val="bullet"/>
      <w:lvlText w:val=""/>
      <w:lvlJc w:val="left"/>
      <w:pPr>
        <w:tabs>
          <w:tab w:val="num" w:pos="3351"/>
        </w:tabs>
        <w:ind w:left="3351" w:hanging="360"/>
      </w:pPr>
      <w:rPr>
        <w:rFonts w:ascii="Symbol" w:hAnsi="Symbol" w:hint="default"/>
      </w:rPr>
    </w:lvl>
    <w:lvl w:ilvl="4" w:tplc="04090003" w:tentative="1">
      <w:start w:val="1"/>
      <w:numFmt w:val="bullet"/>
      <w:lvlText w:val="o"/>
      <w:lvlJc w:val="left"/>
      <w:pPr>
        <w:tabs>
          <w:tab w:val="num" w:pos="4071"/>
        </w:tabs>
        <w:ind w:left="4071" w:hanging="360"/>
      </w:pPr>
      <w:rPr>
        <w:rFonts w:ascii="Courier New" w:hAnsi="Courier New" w:hint="default"/>
      </w:rPr>
    </w:lvl>
    <w:lvl w:ilvl="5" w:tplc="04090005" w:tentative="1">
      <w:start w:val="1"/>
      <w:numFmt w:val="bullet"/>
      <w:lvlText w:val=""/>
      <w:lvlJc w:val="left"/>
      <w:pPr>
        <w:tabs>
          <w:tab w:val="num" w:pos="4791"/>
        </w:tabs>
        <w:ind w:left="4791" w:hanging="360"/>
      </w:pPr>
      <w:rPr>
        <w:rFonts w:ascii="Wingdings" w:hAnsi="Wingdings" w:hint="default"/>
      </w:rPr>
    </w:lvl>
    <w:lvl w:ilvl="6" w:tplc="04090001" w:tentative="1">
      <w:start w:val="1"/>
      <w:numFmt w:val="bullet"/>
      <w:lvlText w:val=""/>
      <w:lvlJc w:val="left"/>
      <w:pPr>
        <w:tabs>
          <w:tab w:val="num" w:pos="5511"/>
        </w:tabs>
        <w:ind w:left="5511" w:hanging="360"/>
      </w:pPr>
      <w:rPr>
        <w:rFonts w:ascii="Symbol" w:hAnsi="Symbol" w:hint="default"/>
      </w:rPr>
    </w:lvl>
    <w:lvl w:ilvl="7" w:tplc="04090003" w:tentative="1">
      <w:start w:val="1"/>
      <w:numFmt w:val="bullet"/>
      <w:lvlText w:val="o"/>
      <w:lvlJc w:val="left"/>
      <w:pPr>
        <w:tabs>
          <w:tab w:val="num" w:pos="6231"/>
        </w:tabs>
        <w:ind w:left="6231" w:hanging="360"/>
      </w:pPr>
      <w:rPr>
        <w:rFonts w:ascii="Courier New" w:hAnsi="Courier New" w:hint="default"/>
      </w:rPr>
    </w:lvl>
    <w:lvl w:ilvl="8" w:tplc="04090005" w:tentative="1">
      <w:start w:val="1"/>
      <w:numFmt w:val="bullet"/>
      <w:lvlText w:val=""/>
      <w:lvlJc w:val="left"/>
      <w:pPr>
        <w:tabs>
          <w:tab w:val="num" w:pos="6951"/>
        </w:tabs>
        <w:ind w:left="6951" w:hanging="360"/>
      </w:pPr>
      <w:rPr>
        <w:rFonts w:ascii="Wingdings" w:hAnsi="Wingdings" w:hint="default"/>
      </w:rPr>
    </w:lvl>
  </w:abstractNum>
  <w:abstractNum w:abstractNumId="16" w15:restartNumberingAfterBreak="0">
    <w:nsid w:val="7B9275B4"/>
    <w:multiLevelType w:val="hybridMultilevel"/>
    <w:tmpl w:val="B3C2B31C"/>
    <w:lvl w:ilvl="0" w:tplc="D2FCCF10">
      <w:start w:val="1"/>
      <w:numFmt w:val="bullet"/>
      <w:lvlText w:val=""/>
      <w:lvlJc w:val="left"/>
      <w:pPr>
        <w:tabs>
          <w:tab w:val="num" w:pos="1191"/>
        </w:tabs>
        <w:ind w:left="1191" w:hanging="471"/>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3"/>
  </w:num>
  <w:num w:numId="2">
    <w:abstractNumId w:val="10"/>
  </w:num>
  <w:num w:numId="3">
    <w:abstractNumId w:val="5"/>
  </w:num>
  <w:num w:numId="4">
    <w:abstractNumId w:val="14"/>
  </w:num>
  <w:num w:numId="5">
    <w:abstractNumId w:val="16"/>
  </w:num>
  <w:num w:numId="6">
    <w:abstractNumId w:val="15"/>
  </w:num>
  <w:num w:numId="7">
    <w:abstractNumId w:val="7"/>
  </w:num>
  <w:num w:numId="8">
    <w:abstractNumId w:val="1"/>
  </w:num>
  <w:num w:numId="9">
    <w:abstractNumId w:val="0"/>
  </w:num>
  <w:num w:numId="10">
    <w:abstractNumId w:val="8"/>
  </w:num>
  <w:num w:numId="11">
    <w:abstractNumId w:val="11"/>
  </w:num>
  <w:num w:numId="12">
    <w:abstractNumId w:val="12"/>
  </w:num>
  <w:num w:numId="13">
    <w:abstractNumId w:val="6"/>
  </w:num>
  <w:num w:numId="14">
    <w:abstractNumId w:val="4"/>
  </w:num>
  <w:num w:numId="15">
    <w:abstractNumId w:val="3"/>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1CC"/>
    <w:rsid w:val="000046DC"/>
    <w:rsid w:val="00015A2A"/>
    <w:rsid w:val="0012060E"/>
    <w:rsid w:val="00123646"/>
    <w:rsid w:val="00150D5F"/>
    <w:rsid w:val="00175C66"/>
    <w:rsid w:val="0019061E"/>
    <w:rsid w:val="002266E3"/>
    <w:rsid w:val="00250327"/>
    <w:rsid w:val="00266369"/>
    <w:rsid w:val="003129CD"/>
    <w:rsid w:val="0035237F"/>
    <w:rsid w:val="0036335C"/>
    <w:rsid w:val="003B0C89"/>
    <w:rsid w:val="003D33F0"/>
    <w:rsid w:val="00430E63"/>
    <w:rsid w:val="004B39B4"/>
    <w:rsid w:val="004B4719"/>
    <w:rsid w:val="004D5663"/>
    <w:rsid w:val="005103F1"/>
    <w:rsid w:val="00526641"/>
    <w:rsid w:val="00533171"/>
    <w:rsid w:val="005661EC"/>
    <w:rsid w:val="005B3995"/>
    <w:rsid w:val="00654B92"/>
    <w:rsid w:val="00657C40"/>
    <w:rsid w:val="0068771F"/>
    <w:rsid w:val="006C0DF6"/>
    <w:rsid w:val="006C54AB"/>
    <w:rsid w:val="006E729F"/>
    <w:rsid w:val="00701868"/>
    <w:rsid w:val="007A4EC3"/>
    <w:rsid w:val="008301CC"/>
    <w:rsid w:val="0087240B"/>
    <w:rsid w:val="00876783"/>
    <w:rsid w:val="008820AB"/>
    <w:rsid w:val="0098697D"/>
    <w:rsid w:val="009E1645"/>
    <w:rsid w:val="00A53D95"/>
    <w:rsid w:val="00A618C0"/>
    <w:rsid w:val="00A62F54"/>
    <w:rsid w:val="00A93E09"/>
    <w:rsid w:val="00AB54CE"/>
    <w:rsid w:val="00AE1984"/>
    <w:rsid w:val="00B02807"/>
    <w:rsid w:val="00B85423"/>
    <w:rsid w:val="00B96955"/>
    <w:rsid w:val="00BD3739"/>
    <w:rsid w:val="00BE22FC"/>
    <w:rsid w:val="00C442A5"/>
    <w:rsid w:val="00C56C02"/>
    <w:rsid w:val="00C87F59"/>
    <w:rsid w:val="00CE7E66"/>
    <w:rsid w:val="00D64F2A"/>
    <w:rsid w:val="00D748D5"/>
    <w:rsid w:val="00D87319"/>
    <w:rsid w:val="00DD1382"/>
    <w:rsid w:val="00E44441"/>
    <w:rsid w:val="00E9732C"/>
    <w:rsid w:val="00ED69FB"/>
    <w:rsid w:val="00F67CBE"/>
    <w:rsid w:val="00F71A98"/>
    <w:rsid w:val="00F72AE3"/>
    <w:rsid w:val="00F85B19"/>
    <w:rsid w:val="00F87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3"/>
    <o:shapelayout v:ext="edit">
      <o:idmap v:ext="edit" data="1"/>
    </o:shapelayout>
  </w:shapeDefaults>
  <w:decimalSymbol w:val="."/>
  <w:listSeparator w:val=","/>
  <w14:docId w14:val="3B3359D1"/>
  <w15:docId w15:val="{D6D97640-9A84-4F8A-BD9B-5F88A3214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2A5"/>
    <w:rPr>
      <w:rFonts w:ascii="Arial" w:hAnsi="Arial"/>
      <w:sz w:val="24"/>
      <w:szCs w:val="24"/>
      <w:lang w:eastAsia="en-US"/>
    </w:rPr>
  </w:style>
  <w:style w:type="paragraph" w:styleId="Heading2">
    <w:name w:val="heading 2"/>
    <w:basedOn w:val="Normal"/>
    <w:next w:val="Normal"/>
    <w:qFormat/>
    <w:rsid w:val="00C442A5"/>
    <w:pPr>
      <w:keepNext/>
      <w:spacing w:before="240" w:after="60"/>
      <w:outlineLvl w:val="1"/>
    </w:pPr>
    <w:rPr>
      <w:rFonts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C442A5"/>
    <w:pPr>
      <w:spacing w:before="120" w:after="120"/>
      <w:ind w:left="1080"/>
    </w:pPr>
    <w:rPr>
      <w:rFonts w:cs="Arial"/>
      <w:lang w:eastAsia="en-GB"/>
    </w:rPr>
  </w:style>
  <w:style w:type="paragraph" w:styleId="BodyTextIndent">
    <w:name w:val="Body Text Indent"/>
    <w:basedOn w:val="Normal"/>
    <w:rsid w:val="00C442A5"/>
    <w:pPr>
      <w:spacing w:before="120" w:after="120"/>
      <w:ind w:left="720"/>
    </w:pPr>
    <w:rPr>
      <w:lang w:eastAsia="en-GB"/>
    </w:rPr>
  </w:style>
  <w:style w:type="paragraph" w:styleId="BodyTextIndent3">
    <w:name w:val="Body Text Indent 3"/>
    <w:basedOn w:val="Normal"/>
    <w:rsid w:val="00C442A5"/>
    <w:pPr>
      <w:tabs>
        <w:tab w:val="left" w:pos="360"/>
      </w:tabs>
      <w:spacing w:before="120" w:after="120"/>
      <w:ind w:left="360"/>
    </w:pPr>
    <w:rPr>
      <w:rFonts w:cs="Arial"/>
      <w:lang w:eastAsia="en-GB"/>
    </w:rPr>
  </w:style>
  <w:style w:type="paragraph" w:customStyle="1" w:styleId="ISEDbodytext">
    <w:name w:val="ISED body text"/>
    <w:basedOn w:val="BodyText"/>
    <w:rsid w:val="00C442A5"/>
    <w:pPr>
      <w:tabs>
        <w:tab w:val="left" w:pos="-284"/>
      </w:tabs>
    </w:pPr>
    <w:rPr>
      <w:color w:val="000000"/>
      <w:sz w:val="22"/>
      <w:szCs w:val="20"/>
    </w:rPr>
  </w:style>
  <w:style w:type="paragraph" w:styleId="BodyText">
    <w:name w:val="Body Text"/>
    <w:basedOn w:val="Normal"/>
    <w:rsid w:val="00C442A5"/>
    <w:pPr>
      <w:spacing w:after="120"/>
    </w:pPr>
  </w:style>
  <w:style w:type="character" w:styleId="Strong">
    <w:name w:val="Strong"/>
    <w:basedOn w:val="DefaultParagraphFont"/>
    <w:qFormat/>
    <w:rsid w:val="00C442A5"/>
    <w:rPr>
      <w:b/>
      <w:bCs/>
    </w:rPr>
  </w:style>
  <w:style w:type="paragraph" w:customStyle="1" w:styleId="SubHeading">
    <w:name w:val="SubHeading"/>
    <w:basedOn w:val="Normal"/>
    <w:rsid w:val="00C442A5"/>
    <w:pPr>
      <w:numPr>
        <w:numId w:val="1"/>
      </w:numPr>
      <w:spacing w:before="240" w:after="400"/>
    </w:pPr>
    <w:rPr>
      <w:rFonts w:ascii="Times New Roman" w:hAnsi="Times New Roman"/>
      <w:b/>
      <w:sz w:val="40"/>
      <w:szCs w:val="20"/>
      <w:lang w:eastAsia="en-GB"/>
    </w:rPr>
  </w:style>
  <w:style w:type="paragraph" w:styleId="BalloonText">
    <w:name w:val="Balloon Text"/>
    <w:basedOn w:val="Normal"/>
    <w:semiHidden/>
    <w:rsid w:val="00533171"/>
    <w:rPr>
      <w:rFonts w:ascii="Tahoma" w:hAnsi="Tahoma" w:cs="Tahoma"/>
      <w:sz w:val="16"/>
      <w:szCs w:val="16"/>
    </w:rPr>
  </w:style>
  <w:style w:type="paragraph" w:styleId="ListParagraph">
    <w:name w:val="List Paragraph"/>
    <w:basedOn w:val="Normal"/>
    <w:uiPriority w:val="34"/>
    <w:qFormat/>
    <w:rsid w:val="00266369"/>
    <w:pPr>
      <w:ind w:left="720"/>
      <w:contextualSpacing/>
    </w:pPr>
  </w:style>
  <w:style w:type="paragraph" w:customStyle="1" w:styleId="Default">
    <w:name w:val="Default"/>
    <w:rsid w:val="00266369"/>
    <w:pPr>
      <w:autoSpaceDE w:val="0"/>
      <w:autoSpaceDN w:val="0"/>
      <w:adjustRightInd w:val="0"/>
    </w:pPr>
    <w:rPr>
      <w:rFonts w:ascii="Calibri" w:hAnsi="Calibri" w:cs="Calibri"/>
      <w:color w:val="000000"/>
      <w:sz w:val="24"/>
      <w:szCs w:val="24"/>
    </w:rPr>
  </w:style>
  <w:style w:type="paragraph" w:styleId="Header">
    <w:name w:val="header"/>
    <w:basedOn w:val="Normal"/>
    <w:link w:val="HeaderChar"/>
    <w:rsid w:val="00AB54CE"/>
    <w:pPr>
      <w:tabs>
        <w:tab w:val="center" w:pos="4513"/>
        <w:tab w:val="right" w:pos="9026"/>
      </w:tabs>
    </w:pPr>
  </w:style>
  <w:style w:type="character" w:customStyle="1" w:styleId="HeaderChar">
    <w:name w:val="Header Char"/>
    <w:basedOn w:val="DefaultParagraphFont"/>
    <w:link w:val="Header"/>
    <w:rsid w:val="00AB54CE"/>
    <w:rPr>
      <w:rFonts w:ascii="Arial" w:hAnsi="Arial"/>
      <w:sz w:val="24"/>
      <w:szCs w:val="24"/>
      <w:lang w:eastAsia="en-US"/>
    </w:rPr>
  </w:style>
  <w:style w:type="paragraph" w:styleId="Footer">
    <w:name w:val="footer"/>
    <w:basedOn w:val="Normal"/>
    <w:link w:val="FooterChar"/>
    <w:rsid w:val="00AB54CE"/>
    <w:pPr>
      <w:tabs>
        <w:tab w:val="center" w:pos="4513"/>
        <w:tab w:val="right" w:pos="9026"/>
      </w:tabs>
    </w:pPr>
  </w:style>
  <w:style w:type="character" w:customStyle="1" w:styleId="FooterChar">
    <w:name w:val="Footer Char"/>
    <w:basedOn w:val="DefaultParagraphFont"/>
    <w:link w:val="Footer"/>
    <w:rsid w:val="00AB54CE"/>
    <w:rPr>
      <w:rFonts w:ascii="Arial" w:hAnsi="Arial"/>
      <w:sz w:val="24"/>
      <w:szCs w:val="24"/>
      <w:lang w:eastAsia="en-US"/>
    </w:rPr>
  </w:style>
  <w:style w:type="character" w:customStyle="1" w:styleId="BodyTextIndent2Char">
    <w:name w:val="Body Text Indent 2 Char"/>
    <w:basedOn w:val="DefaultParagraphFont"/>
    <w:link w:val="BodyTextIndent2"/>
    <w:rsid w:val="00E9732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15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Park Lane College</vt:lpstr>
    </vt:vector>
  </TitlesOfParts>
  <Company>Hewlett-Packard Company</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 Lane College</dc:title>
  <dc:creator>user</dc:creator>
  <cp:lastModifiedBy>Sarah Wilson</cp:lastModifiedBy>
  <cp:revision>2</cp:revision>
  <cp:lastPrinted>2008-01-08T10:57:00Z</cp:lastPrinted>
  <dcterms:created xsi:type="dcterms:W3CDTF">2019-08-19T12:59:00Z</dcterms:created>
  <dcterms:modified xsi:type="dcterms:W3CDTF">2019-08-19T12:59:00Z</dcterms:modified>
</cp:coreProperties>
</file>