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44B" w:rsidRDefault="006F2F42" w:rsidP="00AB244B">
      <w:r w:rsidRPr="006F2F42">
        <w:rPr>
          <w:noProof/>
        </w:rPr>
        <w:drawing>
          <wp:inline distT="0" distB="0" distL="0" distR="0">
            <wp:extent cx="2162175" cy="695325"/>
            <wp:effectExtent l="0" t="0" r="9525" b="9525"/>
            <wp:docPr id="2" name="Picture 2" descr="C:\Inettemp\s.wilson\Cache\Content.Outlook\W6ZTMV2I\UC Corporate Logo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nettemp\s.wilson\Cache\Content.Outlook\W6ZTMV2I\UC Corporate Logo_Black.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2175" cy="695325"/>
                    </a:xfrm>
                    <a:prstGeom prst="rect">
                      <a:avLst/>
                    </a:prstGeom>
                    <a:noFill/>
                    <a:ln>
                      <a:noFill/>
                    </a:ln>
                  </pic:spPr>
                </pic:pic>
              </a:graphicData>
            </a:graphic>
          </wp:inline>
        </w:drawing>
      </w:r>
      <w:bookmarkStart w:id="0" w:name="_GoBack"/>
      <w:bookmarkEnd w:id="0"/>
    </w:p>
    <w:p w:rsidR="00AB244B" w:rsidRDefault="00AB244B" w:rsidP="00AB244B"/>
    <w:p w:rsidR="00AB244B" w:rsidRDefault="00AB244B" w:rsidP="00AB244B"/>
    <w:p w:rsidR="00AB244B" w:rsidRDefault="00AB244B" w:rsidP="00AB244B"/>
    <w:p w:rsidR="00AB244B" w:rsidRDefault="00AB244B" w:rsidP="00AB244B"/>
    <w:p w:rsidR="00AB244B" w:rsidRDefault="00AB244B" w:rsidP="00AB244B"/>
    <w:p w:rsidR="00AB244B" w:rsidRPr="004F24E6" w:rsidRDefault="00AB244B" w:rsidP="00AB244B"/>
    <w:p w:rsidR="00AB244B" w:rsidRPr="0068758D" w:rsidRDefault="00AB244B" w:rsidP="00AB244B">
      <w:pPr>
        <w:pStyle w:val="Heading3"/>
        <w:spacing w:before="0" w:after="0"/>
        <w:rPr>
          <w:color w:val="FF0000"/>
          <w:sz w:val="32"/>
        </w:rPr>
      </w:pPr>
    </w:p>
    <w:p w:rsidR="00AB244B" w:rsidRPr="00545CD8" w:rsidRDefault="0068758D" w:rsidP="00AB244B">
      <w:pPr>
        <w:pStyle w:val="Heading3"/>
        <w:spacing w:before="0" w:after="0"/>
        <w:rPr>
          <w:sz w:val="32"/>
          <w:szCs w:val="32"/>
        </w:rPr>
      </w:pPr>
      <w:smartTag w:uri="urn:schemas-microsoft-com:office:smarttags" w:element="place">
        <w:smartTag w:uri="urn:schemas-microsoft-com:office:smarttags" w:element="PlaceName">
          <w:r w:rsidRPr="00545CD8">
            <w:rPr>
              <w:sz w:val="32"/>
              <w:szCs w:val="32"/>
            </w:rPr>
            <w:t>Leeds</w:t>
          </w:r>
        </w:smartTag>
        <w:r w:rsidRPr="00545CD8">
          <w:rPr>
            <w:sz w:val="32"/>
            <w:szCs w:val="32"/>
          </w:rPr>
          <w:t xml:space="preserve"> </w:t>
        </w:r>
        <w:smartTag w:uri="urn:schemas-microsoft-com:office:smarttags" w:element="PlaceType">
          <w:r w:rsidRPr="00545CD8">
            <w:rPr>
              <w:sz w:val="32"/>
              <w:szCs w:val="32"/>
            </w:rPr>
            <w:t>City</w:t>
          </w:r>
        </w:smartTag>
        <w:r w:rsidR="00AB244B" w:rsidRPr="00545CD8">
          <w:rPr>
            <w:sz w:val="32"/>
            <w:szCs w:val="32"/>
          </w:rPr>
          <w:t xml:space="preserve"> </w:t>
        </w:r>
        <w:smartTag w:uri="urn:schemas-microsoft-com:office:smarttags" w:element="PlaceType">
          <w:r w:rsidR="00AB244B" w:rsidRPr="00545CD8">
            <w:rPr>
              <w:sz w:val="32"/>
              <w:szCs w:val="32"/>
            </w:rPr>
            <w:t>College</w:t>
          </w:r>
        </w:smartTag>
      </w:smartTag>
    </w:p>
    <w:p w:rsidR="00212161" w:rsidRPr="00545CD8" w:rsidRDefault="00212161" w:rsidP="00212161"/>
    <w:p w:rsidR="00AB244B" w:rsidRPr="00545CD8" w:rsidRDefault="00AB244B" w:rsidP="00AB244B">
      <w:pPr>
        <w:tabs>
          <w:tab w:val="left" w:pos="720"/>
        </w:tabs>
        <w:autoSpaceDE w:val="0"/>
        <w:autoSpaceDN w:val="0"/>
        <w:adjustRightInd w:val="0"/>
        <w:spacing w:before="0" w:after="0"/>
        <w:jc w:val="right"/>
        <w:rPr>
          <w:rFonts w:cs="Arial"/>
          <w:b/>
          <w:sz w:val="32"/>
          <w:szCs w:val="32"/>
        </w:rPr>
      </w:pPr>
    </w:p>
    <w:p w:rsidR="0068758D" w:rsidRPr="00545CD8" w:rsidRDefault="00AB244B" w:rsidP="00AB244B">
      <w:pPr>
        <w:pStyle w:val="Heading3"/>
        <w:spacing w:before="0" w:after="0"/>
        <w:rPr>
          <w:sz w:val="32"/>
          <w:szCs w:val="32"/>
        </w:rPr>
      </w:pPr>
      <w:r w:rsidRPr="00545CD8">
        <w:rPr>
          <w:sz w:val="32"/>
          <w:szCs w:val="32"/>
        </w:rPr>
        <w:t xml:space="preserve">Higher Education </w:t>
      </w:r>
    </w:p>
    <w:p w:rsidR="0068758D" w:rsidRPr="00545CD8" w:rsidRDefault="0068758D" w:rsidP="00AB244B">
      <w:pPr>
        <w:pStyle w:val="Heading3"/>
        <w:spacing w:before="0" w:after="0"/>
        <w:rPr>
          <w:sz w:val="32"/>
          <w:szCs w:val="32"/>
        </w:rPr>
      </w:pPr>
    </w:p>
    <w:p w:rsidR="00AB244B" w:rsidRPr="00545CD8" w:rsidRDefault="00AB244B" w:rsidP="00AB244B">
      <w:pPr>
        <w:pStyle w:val="Heading3"/>
        <w:spacing w:before="0" w:after="0"/>
        <w:rPr>
          <w:sz w:val="32"/>
          <w:szCs w:val="32"/>
        </w:rPr>
      </w:pPr>
      <w:r w:rsidRPr="00545CD8">
        <w:rPr>
          <w:sz w:val="32"/>
          <w:szCs w:val="32"/>
        </w:rPr>
        <w:t xml:space="preserve">Assessment </w:t>
      </w:r>
      <w:r w:rsidR="00B37669">
        <w:rPr>
          <w:sz w:val="32"/>
          <w:szCs w:val="32"/>
        </w:rPr>
        <w:t xml:space="preserve">and Moderation </w:t>
      </w:r>
      <w:r w:rsidRPr="00545CD8">
        <w:rPr>
          <w:sz w:val="32"/>
          <w:szCs w:val="32"/>
        </w:rPr>
        <w:t>Policy</w:t>
      </w:r>
    </w:p>
    <w:p w:rsidR="00AB244B" w:rsidRPr="00545CD8" w:rsidRDefault="00AB244B" w:rsidP="00AB244B">
      <w:pPr>
        <w:tabs>
          <w:tab w:val="left" w:pos="720"/>
        </w:tabs>
        <w:autoSpaceDE w:val="0"/>
        <w:autoSpaceDN w:val="0"/>
        <w:adjustRightInd w:val="0"/>
        <w:jc w:val="both"/>
        <w:rPr>
          <w:rFonts w:cs="Arial"/>
          <w:b/>
        </w:rPr>
      </w:pPr>
    </w:p>
    <w:p w:rsidR="00AB244B" w:rsidRPr="00545CD8" w:rsidRDefault="00AB244B" w:rsidP="00AB244B">
      <w:pPr>
        <w:tabs>
          <w:tab w:val="left" w:pos="720"/>
        </w:tabs>
        <w:autoSpaceDE w:val="0"/>
        <w:autoSpaceDN w:val="0"/>
        <w:adjustRightInd w:val="0"/>
        <w:jc w:val="both"/>
        <w:rPr>
          <w:rFonts w:cs="Arial"/>
          <w:b/>
        </w:rPr>
      </w:pPr>
    </w:p>
    <w:p w:rsidR="00AB244B" w:rsidRPr="00545CD8" w:rsidRDefault="00AB244B" w:rsidP="00AB244B">
      <w:pPr>
        <w:tabs>
          <w:tab w:val="left" w:pos="720"/>
        </w:tabs>
        <w:autoSpaceDE w:val="0"/>
        <w:autoSpaceDN w:val="0"/>
        <w:adjustRightInd w:val="0"/>
        <w:jc w:val="both"/>
        <w:rPr>
          <w:rFonts w:cs="Arial"/>
          <w:b/>
        </w:rPr>
      </w:pPr>
    </w:p>
    <w:p w:rsidR="00AB244B" w:rsidRPr="00545CD8" w:rsidRDefault="00AB244B" w:rsidP="00AB244B">
      <w:pPr>
        <w:tabs>
          <w:tab w:val="left" w:pos="720"/>
        </w:tabs>
        <w:autoSpaceDE w:val="0"/>
        <w:autoSpaceDN w:val="0"/>
        <w:adjustRightInd w:val="0"/>
        <w:jc w:val="both"/>
        <w:rPr>
          <w:rFonts w:cs="Arial"/>
          <w:b/>
        </w:rPr>
      </w:pPr>
    </w:p>
    <w:p w:rsidR="00AB244B" w:rsidRPr="00545CD8" w:rsidRDefault="00AB244B" w:rsidP="00AB244B">
      <w:pPr>
        <w:tabs>
          <w:tab w:val="left" w:pos="720"/>
        </w:tabs>
        <w:autoSpaceDE w:val="0"/>
        <w:autoSpaceDN w:val="0"/>
        <w:adjustRightInd w:val="0"/>
        <w:jc w:val="both"/>
        <w:rPr>
          <w:rFonts w:cs="Arial"/>
          <w:b/>
        </w:rPr>
      </w:pPr>
    </w:p>
    <w:p w:rsidR="00AB244B" w:rsidRPr="00545CD8" w:rsidRDefault="00AB244B" w:rsidP="00AB244B">
      <w:pPr>
        <w:tabs>
          <w:tab w:val="left" w:pos="720"/>
        </w:tabs>
        <w:autoSpaceDE w:val="0"/>
        <w:autoSpaceDN w:val="0"/>
        <w:adjustRightInd w:val="0"/>
        <w:jc w:val="both"/>
        <w:rPr>
          <w:rFonts w:cs="Arial"/>
          <w:b/>
        </w:rPr>
      </w:pPr>
    </w:p>
    <w:p w:rsidR="00AB244B" w:rsidRPr="00545CD8" w:rsidRDefault="00AB244B" w:rsidP="00AB244B">
      <w:pPr>
        <w:tabs>
          <w:tab w:val="left" w:pos="720"/>
        </w:tabs>
        <w:autoSpaceDE w:val="0"/>
        <w:autoSpaceDN w:val="0"/>
        <w:adjustRightInd w:val="0"/>
        <w:jc w:val="both"/>
        <w:rPr>
          <w:rFonts w:cs="Arial"/>
          <w:b/>
        </w:rPr>
      </w:pPr>
    </w:p>
    <w:p w:rsidR="00AB244B" w:rsidRPr="00545CD8" w:rsidRDefault="00AB244B" w:rsidP="00AB244B">
      <w:pPr>
        <w:tabs>
          <w:tab w:val="left" w:pos="720"/>
        </w:tabs>
        <w:autoSpaceDE w:val="0"/>
        <w:autoSpaceDN w:val="0"/>
        <w:adjustRightInd w:val="0"/>
        <w:jc w:val="both"/>
        <w:rPr>
          <w:rFonts w:cs="Arial"/>
          <w:b/>
        </w:rPr>
      </w:pPr>
    </w:p>
    <w:p w:rsidR="00AB244B" w:rsidRPr="00545CD8" w:rsidRDefault="00AB244B" w:rsidP="00AB244B">
      <w:pPr>
        <w:tabs>
          <w:tab w:val="left" w:pos="720"/>
        </w:tabs>
        <w:autoSpaceDE w:val="0"/>
        <w:autoSpaceDN w:val="0"/>
        <w:adjustRightInd w:val="0"/>
        <w:jc w:val="both"/>
        <w:rPr>
          <w:rFonts w:cs="Arial"/>
          <w:b/>
        </w:rPr>
      </w:pPr>
    </w:p>
    <w:p w:rsidR="00AB244B" w:rsidRPr="00545CD8" w:rsidRDefault="00AB244B" w:rsidP="00AB244B">
      <w:pPr>
        <w:tabs>
          <w:tab w:val="left" w:pos="720"/>
        </w:tabs>
        <w:autoSpaceDE w:val="0"/>
        <w:autoSpaceDN w:val="0"/>
        <w:adjustRightInd w:val="0"/>
        <w:jc w:val="both"/>
        <w:rPr>
          <w:rFonts w:cs="Arial"/>
          <w:b/>
        </w:rPr>
      </w:pPr>
    </w:p>
    <w:p w:rsidR="00AB244B" w:rsidRPr="00545CD8" w:rsidRDefault="00AB244B" w:rsidP="00AB244B">
      <w:pPr>
        <w:tabs>
          <w:tab w:val="left" w:pos="720"/>
        </w:tabs>
        <w:autoSpaceDE w:val="0"/>
        <w:autoSpaceDN w:val="0"/>
        <w:adjustRightInd w:val="0"/>
        <w:jc w:val="both"/>
        <w:rPr>
          <w:rFonts w:cs="Arial"/>
          <w:b/>
        </w:rPr>
      </w:pPr>
    </w:p>
    <w:p w:rsidR="00AB244B" w:rsidRPr="00545CD8" w:rsidRDefault="00AB244B" w:rsidP="00AB244B">
      <w:pPr>
        <w:tabs>
          <w:tab w:val="left" w:pos="720"/>
        </w:tabs>
        <w:autoSpaceDE w:val="0"/>
        <w:autoSpaceDN w:val="0"/>
        <w:adjustRightInd w:val="0"/>
        <w:jc w:val="both"/>
        <w:rPr>
          <w:rFonts w:cs="Arial"/>
          <w:b/>
        </w:rPr>
      </w:pPr>
    </w:p>
    <w:p w:rsidR="00AB244B" w:rsidRPr="00545CD8" w:rsidRDefault="00AB244B" w:rsidP="00AB244B">
      <w:pPr>
        <w:tabs>
          <w:tab w:val="left" w:pos="720"/>
        </w:tabs>
        <w:autoSpaceDE w:val="0"/>
        <w:autoSpaceDN w:val="0"/>
        <w:adjustRightInd w:val="0"/>
        <w:jc w:val="both"/>
        <w:rPr>
          <w:rFonts w:cs="Arial"/>
          <w:b/>
        </w:rPr>
      </w:pPr>
    </w:p>
    <w:p w:rsidR="00AE5BF2" w:rsidRPr="00545CD8" w:rsidRDefault="00AE5BF2" w:rsidP="00AB244B">
      <w:pPr>
        <w:tabs>
          <w:tab w:val="left" w:pos="720"/>
        </w:tabs>
        <w:autoSpaceDE w:val="0"/>
        <w:autoSpaceDN w:val="0"/>
        <w:adjustRightInd w:val="0"/>
        <w:jc w:val="both"/>
        <w:rPr>
          <w:rFonts w:cs="Arial"/>
          <w:b/>
        </w:rPr>
      </w:pPr>
    </w:p>
    <w:p w:rsidR="00AB244B" w:rsidRPr="00545CD8" w:rsidRDefault="00AB244B" w:rsidP="00AB244B">
      <w:pPr>
        <w:tabs>
          <w:tab w:val="left" w:pos="720"/>
        </w:tabs>
        <w:autoSpaceDE w:val="0"/>
        <w:autoSpaceDN w:val="0"/>
        <w:adjustRightInd w:val="0"/>
        <w:jc w:val="both"/>
        <w:rPr>
          <w:rFonts w:cs="Arial"/>
          <w:b/>
        </w:rPr>
      </w:pPr>
    </w:p>
    <w:p w:rsidR="00AB244B" w:rsidRPr="00545CD8" w:rsidRDefault="00AB244B" w:rsidP="00AB244B">
      <w:pPr>
        <w:rPr>
          <w:rFonts w:cs="Arial"/>
        </w:rPr>
      </w:pPr>
      <w:r w:rsidRPr="00545CD8">
        <w:rPr>
          <w:rFonts w:cs="Arial"/>
          <w:b/>
          <w:bCs/>
        </w:rPr>
        <w:t>Owner:</w:t>
      </w:r>
      <w:r w:rsidRPr="00545CD8">
        <w:rPr>
          <w:rFonts w:cs="Arial"/>
        </w:rPr>
        <w:t xml:space="preserve"> </w:t>
      </w:r>
      <w:r w:rsidR="00C01FD8">
        <w:rPr>
          <w:rFonts w:cs="Arial"/>
        </w:rPr>
        <w:t>HEDO</w:t>
      </w:r>
    </w:p>
    <w:p w:rsidR="00AB244B" w:rsidRDefault="00AB244B" w:rsidP="00AB244B">
      <w:pPr>
        <w:rPr>
          <w:rFonts w:cs="Arial"/>
        </w:rPr>
      </w:pPr>
      <w:r w:rsidRPr="00545CD8">
        <w:rPr>
          <w:rFonts w:cs="Arial"/>
          <w:b/>
          <w:bCs/>
        </w:rPr>
        <w:t>Last review:</w:t>
      </w:r>
      <w:r w:rsidRPr="00545CD8">
        <w:rPr>
          <w:rFonts w:cs="Arial"/>
        </w:rPr>
        <w:t xml:space="preserve"> </w:t>
      </w:r>
      <w:r w:rsidR="00C01FD8">
        <w:rPr>
          <w:rFonts w:cs="Arial"/>
        </w:rPr>
        <w:t>Ju</w:t>
      </w:r>
      <w:r w:rsidR="00672594">
        <w:rPr>
          <w:rFonts w:cs="Arial"/>
        </w:rPr>
        <w:t>ly 2016</w:t>
      </w:r>
    </w:p>
    <w:p w:rsidR="00AB244B" w:rsidRPr="00545CD8" w:rsidRDefault="00AB244B" w:rsidP="00AB244B">
      <w:pPr>
        <w:rPr>
          <w:rFonts w:cs="Arial"/>
        </w:rPr>
      </w:pPr>
      <w:r w:rsidRPr="00545CD8">
        <w:rPr>
          <w:rFonts w:cs="Arial"/>
          <w:b/>
          <w:bCs/>
        </w:rPr>
        <w:t>Next review:</w:t>
      </w:r>
      <w:r w:rsidRPr="00545CD8">
        <w:rPr>
          <w:rFonts w:cs="Arial"/>
        </w:rPr>
        <w:t xml:space="preserve"> </w:t>
      </w:r>
      <w:r w:rsidR="00DE28A7">
        <w:rPr>
          <w:rFonts w:cs="Arial"/>
        </w:rPr>
        <w:t>September 2021</w:t>
      </w:r>
    </w:p>
    <w:p w:rsidR="00AB244B" w:rsidRPr="00545CD8" w:rsidRDefault="00AB244B" w:rsidP="00AB244B">
      <w:r w:rsidRPr="00545CD8">
        <w:rPr>
          <w:b/>
        </w:rPr>
        <w:t>Endorsed by:</w:t>
      </w:r>
      <w:r w:rsidRPr="00545CD8">
        <w:t xml:space="preserve"> </w:t>
      </w:r>
      <w:r w:rsidR="00DE28A7">
        <w:t>PM Meeting</w:t>
      </w:r>
      <w:r w:rsidR="00247A06">
        <w:t xml:space="preserve"> &amp; HE Academic Board</w:t>
      </w:r>
    </w:p>
    <w:p w:rsidR="0068758D" w:rsidRPr="00545CD8" w:rsidRDefault="007E086F" w:rsidP="00AB244B">
      <w:pPr>
        <w:sectPr w:rsidR="0068758D" w:rsidRPr="00545CD8">
          <w:footerReference w:type="default" r:id="rId8"/>
          <w:pgSz w:w="11906" w:h="16838" w:code="9"/>
          <w:pgMar w:top="1438" w:right="1287" w:bottom="720" w:left="1622" w:header="709" w:footer="709" w:gutter="0"/>
          <w:cols w:space="708"/>
          <w:docGrid w:linePitch="360"/>
        </w:sectPr>
      </w:pPr>
      <w:r w:rsidRPr="00545CD8">
        <w:t xml:space="preserve">                        </w:t>
      </w:r>
    </w:p>
    <w:p w:rsidR="008C1B3D" w:rsidRPr="00545CD8" w:rsidRDefault="008C1B3D">
      <w:pPr>
        <w:pStyle w:val="BodyText"/>
        <w:jc w:val="left"/>
      </w:pPr>
      <w:r w:rsidRPr="00545CD8">
        <w:lastRenderedPageBreak/>
        <w:t>Scope and Purpose of Policy</w:t>
      </w:r>
      <w:r w:rsidR="006F6769">
        <w:t xml:space="preserve"> </w:t>
      </w:r>
    </w:p>
    <w:p w:rsidR="008C1B3D" w:rsidRPr="00545CD8" w:rsidRDefault="008C1B3D">
      <w:r w:rsidRPr="00545CD8">
        <w:t xml:space="preserve">This policy applies to all staff teaching on higher education programmes/awards and learners undertaking a higher education award with </w:t>
      </w:r>
      <w:smartTag w:uri="urn:schemas-microsoft-com:office:smarttags" w:element="place">
        <w:smartTag w:uri="urn:schemas-microsoft-com:office:smarttags" w:element="PlaceName">
          <w:r w:rsidR="0068758D" w:rsidRPr="00545CD8">
            <w:t>Leeds</w:t>
          </w:r>
        </w:smartTag>
        <w:r w:rsidR="0068758D" w:rsidRPr="00545CD8">
          <w:t xml:space="preserve"> </w:t>
        </w:r>
        <w:smartTag w:uri="urn:schemas-microsoft-com:office:smarttags" w:element="PlaceType">
          <w:r w:rsidR="0068758D" w:rsidRPr="00545CD8">
            <w:t>City</w:t>
          </w:r>
        </w:smartTag>
        <w:r w:rsidRPr="00545CD8">
          <w:t xml:space="preserve"> </w:t>
        </w:r>
        <w:smartTag w:uri="urn:schemas-microsoft-com:office:smarttags" w:element="PlaceType">
          <w:r w:rsidRPr="00545CD8">
            <w:t>College</w:t>
          </w:r>
        </w:smartTag>
      </w:smartTag>
      <w:r w:rsidRPr="00545CD8">
        <w:t>.</w:t>
      </w:r>
      <w:r w:rsidR="00C27D43" w:rsidRPr="00545CD8">
        <w:t xml:space="preserve"> All learners in the College are entitled to learning support and assessment information that is clear, transparent, is compliant with the requirements of the awarding body and provides feedback on progress.</w:t>
      </w:r>
    </w:p>
    <w:p w:rsidR="008C1B3D" w:rsidRPr="00545CD8" w:rsidRDefault="008C1B3D">
      <w:pPr>
        <w:tabs>
          <w:tab w:val="left" w:pos="720"/>
        </w:tabs>
        <w:autoSpaceDE w:val="0"/>
        <w:autoSpaceDN w:val="0"/>
        <w:adjustRightInd w:val="0"/>
      </w:pPr>
      <w:r w:rsidRPr="00545CD8">
        <w:t xml:space="preserve">Its purpose is to ensure that the HE assessment </w:t>
      </w:r>
      <w:r w:rsidR="00B37669">
        <w:t xml:space="preserve">and moderation </w:t>
      </w:r>
      <w:r w:rsidRPr="00545CD8">
        <w:t xml:space="preserve">policy and procedures are implemented consistently across the College and that the requirements of awarding bodies are met. In addition, the HE assessment </w:t>
      </w:r>
      <w:r w:rsidR="00B37669">
        <w:t xml:space="preserve">and moderation </w:t>
      </w:r>
      <w:r w:rsidRPr="00545CD8">
        <w:t xml:space="preserve">policy and procedures are fully informed by the </w:t>
      </w:r>
      <w:r w:rsidR="00DE28A7">
        <w:t xml:space="preserve">revised </w:t>
      </w:r>
      <w:r w:rsidRPr="00545CD8">
        <w:t xml:space="preserve">QAA </w:t>
      </w:r>
      <w:r w:rsidR="00247A06">
        <w:t>Quality Code</w:t>
      </w:r>
      <w:r w:rsidR="00DC4B21">
        <w:t xml:space="preserve"> (primarily Assessment)</w:t>
      </w:r>
      <w:r w:rsidR="00CB0E41">
        <w:t>.</w:t>
      </w:r>
    </w:p>
    <w:p w:rsidR="00AB244B" w:rsidRPr="00545CD8" w:rsidRDefault="0068758D">
      <w:pPr>
        <w:tabs>
          <w:tab w:val="left" w:pos="720"/>
        </w:tabs>
        <w:autoSpaceDE w:val="0"/>
        <w:autoSpaceDN w:val="0"/>
        <w:adjustRightInd w:val="0"/>
      </w:pPr>
      <w:r w:rsidRPr="00545CD8">
        <w:t>Assessment measures achievement of the outcomes of learning in terms of knowledge skills and understanding. The purpose of assessment is to:</w:t>
      </w:r>
    </w:p>
    <w:p w:rsidR="00C27D43" w:rsidRPr="00545CD8" w:rsidRDefault="0068758D" w:rsidP="005127E4">
      <w:pPr>
        <w:numPr>
          <w:ilvl w:val="0"/>
          <w:numId w:val="10"/>
        </w:numPr>
        <w:autoSpaceDE w:val="0"/>
        <w:autoSpaceDN w:val="0"/>
        <w:adjustRightInd w:val="0"/>
        <w:spacing w:before="0" w:after="0"/>
        <w:rPr>
          <w:rFonts w:cs="Arial"/>
          <w:szCs w:val="22"/>
        </w:rPr>
      </w:pPr>
      <w:r w:rsidRPr="00545CD8">
        <w:rPr>
          <w:rFonts w:cs="Arial"/>
          <w:szCs w:val="22"/>
        </w:rPr>
        <w:t>determine if a potential student is ready to start a particular course of</w:t>
      </w:r>
      <w:r w:rsidR="00C27D43" w:rsidRPr="00545CD8">
        <w:rPr>
          <w:rFonts w:cs="Arial"/>
          <w:szCs w:val="22"/>
        </w:rPr>
        <w:t xml:space="preserve"> </w:t>
      </w:r>
      <w:r w:rsidRPr="00545CD8">
        <w:rPr>
          <w:rFonts w:cs="Arial"/>
          <w:szCs w:val="22"/>
        </w:rPr>
        <w:t>learning; (diagnostic assessment</w:t>
      </w:r>
      <w:r w:rsidRPr="00FC658C">
        <w:rPr>
          <w:rFonts w:cs="Arial"/>
          <w:szCs w:val="22"/>
        </w:rPr>
        <w:t>)</w:t>
      </w:r>
      <w:r w:rsidR="006F6769" w:rsidRPr="00FC658C">
        <w:rPr>
          <w:rFonts w:cs="Arial"/>
          <w:szCs w:val="22"/>
        </w:rPr>
        <w:t xml:space="preserve"> </w:t>
      </w:r>
      <w:r w:rsidR="0018149E" w:rsidRPr="00FC658C">
        <w:rPr>
          <w:rFonts w:cs="Arial"/>
          <w:szCs w:val="22"/>
        </w:rPr>
        <w:t>(</w:t>
      </w:r>
      <w:r w:rsidR="00DE28A7">
        <w:rPr>
          <w:rFonts w:cs="Arial"/>
          <w:szCs w:val="22"/>
        </w:rPr>
        <w:t>Admissions, Recruitment and Widening Access GP 9</w:t>
      </w:r>
      <w:r w:rsidR="006F6769" w:rsidRPr="00FC658C">
        <w:rPr>
          <w:rFonts w:cs="Arial"/>
          <w:szCs w:val="22"/>
        </w:rPr>
        <w:t>)</w:t>
      </w:r>
      <w:r w:rsidR="00FC658C">
        <w:rPr>
          <w:rFonts w:cs="Arial"/>
          <w:szCs w:val="22"/>
        </w:rPr>
        <w:t>;</w:t>
      </w:r>
    </w:p>
    <w:p w:rsidR="0068758D" w:rsidRPr="00545CD8" w:rsidRDefault="0068758D" w:rsidP="005127E4">
      <w:pPr>
        <w:numPr>
          <w:ilvl w:val="0"/>
          <w:numId w:val="10"/>
        </w:numPr>
        <w:autoSpaceDE w:val="0"/>
        <w:autoSpaceDN w:val="0"/>
        <w:adjustRightInd w:val="0"/>
        <w:spacing w:before="0" w:after="0"/>
        <w:rPr>
          <w:rFonts w:cs="Arial"/>
          <w:szCs w:val="22"/>
        </w:rPr>
      </w:pPr>
      <w:r w:rsidRPr="00545CD8">
        <w:rPr>
          <w:rFonts w:cs="Arial"/>
          <w:szCs w:val="22"/>
        </w:rPr>
        <w:t>provide guidance on how well students are progressing (formative</w:t>
      </w:r>
      <w:r w:rsidR="00C27D43" w:rsidRPr="00545CD8">
        <w:rPr>
          <w:rFonts w:cs="Arial"/>
          <w:szCs w:val="22"/>
        </w:rPr>
        <w:t xml:space="preserve"> </w:t>
      </w:r>
      <w:r w:rsidRPr="00545CD8">
        <w:rPr>
          <w:rFonts w:cs="Arial"/>
          <w:szCs w:val="22"/>
        </w:rPr>
        <w:t>assessment)</w:t>
      </w:r>
      <w:r w:rsidR="0018149E" w:rsidRPr="00FC658C">
        <w:rPr>
          <w:rFonts w:cs="Arial"/>
          <w:szCs w:val="22"/>
        </w:rPr>
        <w:t>(</w:t>
      </w:r>
      <w:r w:rsidR="00CB0E41">
        <w:rPr>
          <w:rFonts w:cs="Arial"/>
          <w:szCs w:val="22"/>
        </w:rPr>
        <w:t xml:space="preserve"> </w:t>
      </w:r>
      <w:r w:rsidR="00DE28A7">
        <w:rPr>
          <w:rFonts w:cs="Arial"/>
          <w:szCs w:val="22"/>
        </w:rPr>
        <w:t>GP 6, 9</w:t>
      </w:r>
      <w:r w:rsidR="0018149E" w:rsidRPr="00FC658C">
        <w:rPr>
          <w:rFonts w:cs="Arial"/>
          <w:szCs w:val="22"/>
        </w:rPr>
        <w:t>)</w:t>
      </w:r>
      <w:r w:rsidR="00FC658C">
        <w:rPr>
          <w:rFonts w:cs="Arial"/>
          <w:szCs w:val="22"/>
        </w:rPr>
        <w:t>;</w:t>
      </w:r>
    </w:p>
    <w:p w:rsidR="0068758D" w:rsidRPr="00B37669" w:rsidRDefault="0068758D" w:rsidP="005127E4">
      <w:pPr>
        <w:numPr>
          <w:ilvl w:val="0"/>
          <w:numId w:val="10"/>
        </w:numPr>
        <w:tabs>
          <w:tab w:val="left" w:pos="720"/>
        </w:tabs>
        <w:autoSpaceDE w:val="0"/>
        <w:autoSpaceDN w:val="0"/>
        <w:adjustRightInd w:val="0"/>
        <w:rPr>
          <w:rFonts w:cs="Arial"/>
          <w:szCs w:val="22"/>
        </w:rPr>
      </w:pPr>
      <w:r w:rsidRPr="00545CD8">
        <w:rPr>
          <w:rFonts w:cs="Arial"/>
          <w:szCs w:val="22"/>
        </w:rPr>
        <w:t xml:space="preserve">determine eligibility for final </w:t>
      </w:r>
      <w:r w:rsidR="00C27D43" w:rsidRPr="00545CD8">
        <w:rPr>
          <w:rFonts w:cs="Arial"/>
          <w:szCs w:val="22"/>
        </w:rPr>
        <w:t xml:space="preserve">grading of module or </w:t>
      </w:r>
      <w:r w:rsidRPr="00545CD8">
        <w:rPr>
          <w:rFonts w:cs="Arial"/>
          <w:szCs w:val="22"/>
        </w:rPr>
        <w:t>awards (summative assessment</w:t>
      </w:r>
      <w:r w:rsidRPr="00FC658C">
        <w:rPr>
          <w:rFonts w:cs="Arial"/>
          <w:szCs w:val="22"/>
        </w:rPr>
        <w:t>)</w:t>
      </w:r>
      <w:r w:rsidR="0018149E" w:rsidRPr="00FC658C">
        <w:rPr>
          <w:rFonts w:cs="Arial"/>
          <w:szCs w:val="22"/>
        </w:rPr>
        <w:t>(</w:t>
      </w:r>
      <w:r w:rsidR="00CB0E41">
        <w:rPr>
          <w:rFonts w:cs="Arial"/>
          <w:szCs w:val="22"/>
        </w:rPr>
        <w:t xml:space="preserve"> </w:t>
      </w:r>
      <w:r w:rsidR="00DE28A7">
        <w:rPr>
          <w:rFonts w:cs="Arial"/>
          <w:szCs w:val="22"/>
        </w:rPr>
        <w:t>GP 2</w:t>
      </w:r>
      <w:r w:rsidR="0018149E" w:rsidRPr="00FC658C">
        <w:rPr>
          <w:rFonts w:cs="Arial"/>
          <w:szCs w:val="22"/>
        </w:rPr>
        <w:t>)</w:t>
      </w:r>
      <w:r w:rsidR="00FC658C">
        <w:rPr>
          <w:rFonts w:cs="Arial"/>
          <w:szCs w:val="22"/>
        </w:rPr>
        <w:t>;</w:t>
      </w:r>
    </w:p>
    <w:p w:rsidR="00B37669" w:rsidRDefault="00B37669" w:rsidP="00B37669">
      <w:pPr>
        <w:tabs>
          <w:tab w:val="left" w:pos="720"/>
        </w:tabs>
        <w:autoSpaceDE w:val="0"/>
        <w:autoSpaceDN w:val="0"/>
        <w:adjustRightInd w:val="0"/>
        <w:rPr>
          <w:rFonts w:cs="Arial"/>
          <w:szCs w:val="22"/>
        </w:rPr>
      </w:pPr>
      <w:r w:rsidRPr="00B37669">
        <w:rPr>
          <w:rFonts w:cs="Arial"/>
          <w:szCs w:val="22"/>
        </w:rPr>
        <w:t>Moderation</w:t>
      </w:r>
      <w:r w:rsidR="00FC658C">
        <w:rPr>
          <w:rFonts w:cs="Arial"/>
          <w:szCs w:val="22"/>
        </w:rPr>
        <w:t xml:space="preserve"> is a process through which the college assures itself that academic standards are being met and that assessment procedures are being implemented in a way that ensures that assessment decisions are safe, fair and valid.  The purpose of moderation is to:</w:t>
      </w:r>
    </w:p>
    <w:p w:rsidR="00FC658C" w:rsidRPr="00FC658C" w:rsidRDefault="00FC658C" w:rsidP="00FC658C">
      <w:pPr>
        <w:pStyle w:val="Default"/>
        <w:numPr>
          <w:ilvl w:val="0"/>
          <w:numId w:val="21"/>
        </w:numPr>
        <w:spacing w:after="2"/>
        <w:rPr>
          <w:rFonts w:ascii="Arial" w:hAnsi="Arial" w:cs="Arial"/>
          <w:sz w:val="22"/>
          <w:szCs w:val="22"/>
        </w:rPr>
      </w:pPr>
      <w:r w:rsidRPr="00FC658C">
        <w:rPr>
          <w:rFonts w:ascii="Arial" w:hAnsi="Arial" w:cs="Arial"/>
          <w:sz w:val="22"/>
          <w:szCs w:val="22"/>
        </w:rPr>
        <w:t>Verify that the College is maintaining the threshold academic standards set for its awards in accordance with the framework for higher education qualifications and applicable subject benchmark statements</w:t>
      </w:r>
      <w:r>
        <w:rPr>
          <w:rFonts w:ascii="Arial" w:hAnsi="Arial" w:cs="Arial"/>
          <w:sz w:val="22"/>
          <w:szCs w:val="22"/>
        </w:rPr>
        <w:t xml:space="preserve"> (</w:t>
      </w:r>
      <w:r w:rsidR="00CB0E41">
        <w:rPr>
          <w:rFonts w:ascii="Arial" w:hAnsi="Arial" w:cs="Arial"/>
          <w:sz w:val="22"/>
          <w:szCs w:val="22"/>
        </w:rPr>
        <w:t>GP1</w:t>
      </w:r>
      <w:r>
        <w:rPr>
          <w:rFonts w:ascii="Arial" w:hAnsi="Arial" w:cs="Arial"/>
          <w:sz w:val="22"/>
          <w:szCs w:val="22"/>
        </w:rPr>
        <w:t>).</w:t>
      </w:r>
    </w:p>
    <w:p w:rsidR="00FC658C" w:rsidRPr="00FC658C" w:rsidRDefault="00FC658C" w:rsidP="00FC658C">
      <w:pPr>
        <w:pStyle w:val="Default"/>
        <w:numPr>
          <w:ilvl w:val="0"/>
          <w:numId w:val="21"/>
        </w:numPr>
        <w:spacing w:after="2"/>
        <w:rPr>
          <w:rFonts w:ascii="Arial" w:hAnsi="Arial" w:cs="Arial"/>
          <w:sz w:val="22"/>
          <w:szCs w:val="22"/>
        </w:rPr>
      </w:pPr>
      <w:r w:rsidRPr="00FC658C">
        <w:rPr>
          <w:rFonts w:ascii="Arial" w:hAnsi="Arial" w:cs="Arial"/>
          <w:sz w:val="22"/>
          <w:szCs w:val="22"/>
        </w:rPr>
        <w:t>Ensure that the assessment process measures student achievement rigorously and fairly against the intended programme outcome(s) and is effectively operated in accordance with institutional regulations</w:t>
      </w:r>
      <w:r>
        <w:rPr>
          <w:rFonts w:ascii="Arial" w:hAnsi="Arial" w:cs="Arial"/>
          <w:sz w:val="22"/>
          <w:szCs w:val="22"/>
        </w:rPr>
        <w:t xml:space="preserve"> (</w:t>
      </w:r>
      <w:r w:rsidR="00CB0E41">
        <w:rPr>
          <w:rFonts w:ascii="Arial" w:hAnsi="Arial" w:cs="Arial"/>
          <w:sz w:val="22"/>
          <w:szCs w:val="22"/>
        </w:rPr>
        <w:t>GP 2, 4, 8, 10</w:t>
      </w:r>
      <w:r>
        <w:rPr>
          <w:rFonts w:ascii="Arial" w:hAnsi="Arial" w:cs="Arial"/>
          <w:sz w:val="22"/>
          <w:szCs w:val="22"/>
        </w:rPr>
        <w:t>).</w:t>
      </w:r>
      <w:r w:rsidRPr="00FC658C">
        <w:rPr>
          <w:rFonts w:ascii="Arial" w:hAnsi="Arial" w:cs="Arial"/>
          <w:sz w:val="22"/>
          <w:szCs w:val="22"/>
        </w:rPr>
        <w:t xml:space="preserve"> </w:t>
      </w:r>
    </w:p>
    <w:p w:rsidR="00FC658C" w:rsidRPr="00FC658C" w:rsidRDefault="00FC658C" w:rsidP="00FC658C">
      <w:pPr>
        <w:pStyle w:val="Default"/>
        <w:numPr>
          <w:ilvl w:val="0"/>
          <w:numId w:val="21"/>
        </w:numPr>
        <w:rPr>
          <w:rFonts w:ascii="Arial" w:hAnsi="Arial" w:cs="Arial"/>
          <w:sz w:val="22"/>
          <w:szCs w:val="22"/>
        </w:rPr>
      </w:pPr>
      <w:r w:rsidRPr="00FC658C">
        <w:rPr>
          <w:rFonts w:ascii="Arial" w:hAnsi="Arial" w:cs="Arial"/>
          <w:sz w:val="22"/>
          <w:szCs w:val="22"/>
        </w:rPr>
        <w:t>Verify that the standards of Leeds City College awards and the achievements of students are appropriate and comparable to other higher education institutions which the external examiners have experience</w:t>
      </w:r>
      <w:r>
        <w:rPr>
          <w:rFonts w:ascii="Arial" w:hAnsi="Arial" w:cs="Arial"/>
          <w:sz w:val="22"/>
          <w:szCs w:val="22"/>
        </w:rPr>
        <w:t xml:space="preserve"> (</w:t>
      </w:r>
      <w:r w:rsidR="00CB0E41">
        <w:rPr>
          <w:rFonts w:ascii="Arial" w:hAnsi="Arial" w:cs="Arial"/>
          <w:sz w:val="22"/>
          <w:szCs w:val="22"/>
        </w:rPr>
        <w:t>GP 2</w:t>
      </w:r>
      <w:r>
        <w:rPr>
          <w:rFonts w:ascii="Arial" w:hAnsi="Arial" w:cs="Arial"/>
          <w:sz w:val="22"/>
          <w:szCs w:val="22"/>
        </w:rPr>
        <w:t>)</w:t>
      </w:r>
      <w:r w:rsidRPr="00FC658C">
        <w:rPr>
          <w:rFonts w:ascii="Arial" w:hAnsi="Arial" w:cs="Arial"/>
          <w:sz w:val="22"/>
          <w:szCs w:val="22"/>
        </w:rPr>
        <w:t xml:space="preserve">. </w:t>
      </w:r>
    </w:p>
    <w:p w:rsidR="00FC658C" w:rsidRPr="00B37669" w:rsidRDefault="00FC658C" w:rsidP="00B37669">
      <w:pPr>
        <w:tabs>
          <w:tab w:val="left" w:pos="720"/>
        </w:tabs>
        <w:autoSpaceDE w:val="0"/>
        <w:autoSpaceDN w:val="0"/>
        <w:adjustRightInd w:val="0"/>
        <w:rPr>
          <w:rFonts w:cs="Arial"/>
          <w:szCs w:val="22"/>
        </w:rPr>
      </w:pPr>
    </w:p>
    <w:p w:rsidR="008C1B3D" w:rsidRPr="00545CD8" w:rsidRDefault="008C1B3D">
      <w:pPr>
        <w:pStyle w:val="Heading4"/>
        <w:tabs>
          <w:tab w:val="left" w:pos="720"/>
        </w:tabs>
        <w:autoSpaceDE w:val="0"/>
        <w:autoSpaceDN w:val="0"/>
        <w:adjustRightInd w:val="0"/>
      </w:pPr>
      <w:r w:rsidRPr="00545CD8">
        <w:t>Policy Statement</w:t>
      </w:r>
    </w:p>
    <w:p w:rsidR="008C1B3D" w:rsidRPr="00545CD8" w:rsidRDefault="008C1B3D">
      <w:r w:rsidRPr="00545CD8">
        <w:t>The College is responsible for the academic standards and quality of the programmes it designs and delivers and is therefore accountable for:</w:t>
      </w:r>
    </w:p>
    <w:p w:rsidR="008C1B3D" w:rsidRPr="00545CD8" w:rsidRDefault="008C1B3D" w:rsidP="005127E4">
      <w:pPr>
        <w:pStyle w:val="BodyTextIndent"/>
        <w:numPr>
          <w:ilvl w:val="0"/>
          <w:numId w:val="6"/>
        </w:numPr>
      </w:pPr>
      <w:r w:rsidRPr="00545CD8">
        <w:t xml:space="preserve">Designing, approving, </w:t>
      </w:r>
      <w:r w:rsidR="0012311E" w:rsidRPr="00545CD8">
        <w:t xml:space="preserve">monitoring </w:t>
      </w:r>
      <w:r w:rsidRPr="00545CD8">
        <w:t xml:space="preserve">and reviewing the assessment strategies for </w:t>
      </w:r>
      <w:r w:rsidR="0068758D" w:rsidRPr="00545CD8">
        <w:t xml:space="preserve">modules </w:t>
      </w:r>
      <w:r w:rsidRPr="00545CD8">
        <w:t>and awards</w:t>
      </w:r>
      <w:r w:rsidR="0052501D" w:rsidRPr="00545CD8">
        <w:t xml:space="preserve"> wherever the learning takes place</w:t>
      </w:r>
      <w:r w:rsidR="0018149E">
        <w:t xml:space="preserve"> </w:t>
      </w:r>
      <w:r w:rsidR="0018149E" w:rsidRPr="00FC658C">
        <w:t>(</w:t>
      </w:r>
      <w:r w:rsidR="00DC4B21">
        <w:t>GP 1, 3</w:t>
      </w:r>
      <w:r w:rsidR="0018149E" w:rsidRPr="00FC658C">
        <w:t>)</w:t>
      </w:r>
      <w:r w:rsidR="00FC658C">
        <w:t>;</w:t>
      </w:r>
      <w:r w:rsidR="0018149E" w:rsidRPr="00FC658C">
        <w:t xml:space="preserve"> </w:t>
      </w:r>
    </w:p>
    <w:p w:rsidR="008C1B3D" w:rsidRPr="00545CD8" w:rsidRDefault="008C1B3D" w:rsidP="005127E4">
      <w:pPr>
        <w:numPr>
          <w:ilvl w:val="0"/>
          <w:numId w:val="6"/>
        </w:numPr>
        <w:tabs>
          <w:tab w:val="left" w:pos="720"/>
        </w:tabs>
        <w:autoSpaceDE w:val="0"/>
        <w:autoSpaceDN w:val="0"/>
        <w:adjustRightInd w:val="0"/>
        <w:rPr>
          <w:rFonts w:cs="Arial"/>
          <w:b/>
        </w:rPr>
      </w:pPr>
      <w:r w:rsidRPr="00545CD8">
        <w:t xml:space="preserve">The consistent implementation of rigorous assessment practices, which ensure that the academic/professional standard for each award element is set and maintained at the appropriate level and that student </w:t>
      </w:r>
      <w:r w:rsidR="0012311E" w:rsidRPr="00545CD8">
        <w:t>performance,</w:t>
      </w:r>
      <w:r w:rsidRPr="00545CD8">
        <w:t xml:space="preserve"> </w:t>
      </w:r>
      <w:r w:rsidR="00FC658C">
        <w:t>is properly judged against this</w:t>
      </w:r>
      <w:r w:rsidR="0018149E">
        <w:t xml:space="preserve"> </w:t>
      </w:r>
      <w:r w:rsidR="0018149E" w:rsidRPr="00FC658C">
        <w:t>(</w:t>
      </w:r>
      <w:r w:rsidR="00DC4B21">
        <w:t>GP 2, 4</w:t>
      </w:r>
      <w:r w:rsidR="00635195" w:rsidRPr="00FC658C">
        <w:t>)</w:t>
      </w:r>
      <w:r w:rsidR="00FC658C">
        <w:t>;</w:t>
      </w:r>
      <w:r w:rsidR="0018149E" w:rsidRPr="00FC658C">
        <w:t xml:space="preserve"> </w:t>
      </w:r>
    </w:p>
    <w:p w:rsidR="0012311E" w:rsidRPr="00FC658C" w:rsidRDefault="0012311E" w:rsidP="005127E4">
      <w:pPr>
        <w:numPr>
          <w:ilvl w:val="0"/>
          <w:numId w:val="6"/>
        </w:numPr>
        <w:tabs>
          <w:tab w:val="left" w:pos="720"/>
        </w:tabs>
        <w:autoSpaceDE w:val="0"/>
        <w:autoSpaceDN w:val="0"/>
        <w:adjustRightInd w:val="0"/>
        <w:rPr>
          <w:rFonts w:cs="Arial"/>
          <w:b/>
        </w:rPr>
      </w:pPr>
      <w:r w:rsidRPr="00545CD8">
        <w:t>Evaluating how academic standards are maintained through assessment practice that also encourages effective learning</w:t>
      </w:r>
      <w:r w:rsidR="0052501D" w:rsidRPr="00545CD8">
        <w:t xml:space="preserve"> and a high quality learning experience</w:t>
      </w:r>
      <w:r w:rsidRPr="00545CD8">
        <w:t>.</w:t>
      </w:r>
      <w:r w:rsidR="00635195">
        <w:t xml:space="preserve"> </w:t>
      </w:r>
      <w:r w:rsidR="00635195" w:rsidRPr="00FC658C">
        <w:t>(</w:t>
      </w:r>
      <w:r w:rsidR="00DC4B21">
        <w:t>GP 8</w:t>
      </w:r>
      <w:r w:rsidR="00635195" w:rsidRPr="00FC658C">
        <w:t>)</w:t>
      </w:r>
      <w:r w:rsidR="00FC658C">
        <w:t>;</w:t>
      </w:r>
    </w:p>
    <w:p w:rsidR="008C1B3D" w:rsidRPr="00DC4B21" w:rsidRDefault="00FC658C" w:rsidP="00351F28">
      <w:pPr>
        <w:numPr>
          <w:ilvl w:val="0"/>
          <w:numId w:val="6"/>
        </w:numPr>
        <w:tabs>
          <w:tab w:val="left" w:pos="720"/>
        </w:tabs>
        <w:autoSpaceDE w:val="0"/>
        <w:autoSpaceDN w:val="0"/>
        <w:adjustRightInd w:val="0"/>
        <w:rPr>
          <w:rFonts w:cs="Arial"/>
          <w:b/>
        </w:rPr>
      </w:pPr>
      <w:r>
        <w:t>Ensuring that External Examiner feedback is utilised effectively to inform future practice and enhancements to processes (</w:t>
      </w:r>
      <w:r w:rsidR="00DC4B21">
        <w:t>External Expertise: GP 2, 6</w:t>
      </w:r>
      <w:r w:rsidR="00351F28">
        <w:t>).</w:t>
      </w:r>
    </w:p>
    <w:p w:rsidR="00DC4B21" w:rsidRPr="00351F28" w:rsidRDefault="00DC4B21" w:rsidP="00DC4B21">
      <w:pPr>
        <w:tabs>
          <w:tab w:val="left" w:pos="720"/>
        </w:tabs>
        <w:autoSpaceDE w:val="0"/>
        <w:autoSpaceDN w:val="0"/>
        <w:adjustRightInd w:val="0"/>
        <w:ind w:left="543"/>
        <w:rPr>
          <w:rFonts w:cs="Arial"/>
          <w:b/>
        </w:rPr>
      </w:pPr>
    </w:p>
    <w:tbl>
      <w:tblPr>
        <w:tblW w:w="9540"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881"/>
        <w:gridCol w:w="5954"/>
        <w:gridCol w:w="1705"/>
      </w:tblGrid>
      <w:tr w:rsidR="008C1B3D" w:rsidRPr="00545CD8" w:rsidTr="000F6428">
        <w:trPr>
          <w:tblHeader/>
        </w:trPr>
        <w:tc>
          <w:tcPr>
            <w:tcW w:w="1881" w:type="dxa"/>
          </w:tcPr>
          <w:p w:rsidR="008C1B3D" w:rsidRPr="00545CD8" w:rsidRDefault="008C1B3D">
            <w:pPr>
              <w:tabs>
                <w:tab w:val="left" w:pos="720"/>
              </w:tabs>
              <w:jc w:val="both"/>
              <w:rPr>
                <w:rFonts w:cs="Arial"/>
                <w:b/>
                <w:bCs/>
              </w:rPr>
            </w:pPr>
            <w:r w:rsidRPr="00545CD8">
              <w:rPr>
                <w:rFonts w:cs="Arial"/>
                <w:b/>
                <w:bCs/>
              </w:rPr>
              <w:lastRenderedPageBreak/>
              <w:t>Policy</w:t>
            </w:r>
          </w:p>
        </w:tc>
        <w:tc>
          <w:tcPr>
            <w:tcW w:w="5954" w:type="dxa"/>
          </w:tcPr>
          <w:p w:rsidR="008C1B3D" w:rsidRPr="00545CD8" w:rsidRDefault="00892039">
            <w:pPr>
              <w:tabs>
                <w:tab w:val="left" w:pos="720"/>
              </w:tabs>
              <w:jc w:val="both"/>
              <w:rPr>
                <w:rFonts w:cs="Arial"/>
                <w:b/>
                <w:bCs/>
              </w:rPr>
            </w:pPr>
            <w:r w:rsidRPr="00545CD8">
              <w:rPr>
                <w:rFonts w:cs="Arial"/>
                <w:b/>
                <w:bCs/>
              </w:rPr>
              <w:t xml:space="preserve">Higher Education </w:t>
            </w:r>
            <w:r w:rsidR="00E74195" w:rsidRPr="00545CD8">
              <w:rPr>
                <w:rFonts w:cs="Arial"/>
                <w:b/>
                <w:bCs/>
              </w:rPr>
              <w:t xml:space="preserve">Assessment </w:t>
            </w:r>
            <w:r w:rsidR="00B37669">
              <w:rPr>
                <w:rFonts w:cs="Arial"/>
                <w:b/>
                <w:bCs/>
              </w:rPr>
              <w:t xml:space="preserve">and Moderation </w:t>
            </w:r>
            <w:r w:rsidR="00E74195" w:rsidRPr="00545CD8">
              <w:rPr>
                <w:rFonts w:cs="Arial"/>
                <w:b/>
                <w:bCs/>
              </w:rPr>
              <w:t>Policy</w:t>
            </w:r>
          </w:p>
        </w:tc>
        <w:tc>
          <w:tcPr>
            <w:tcW w:w="1705" w:type="dxa"/>
          </w:tcPr>
          <w:p w:rsidR="008C1B3D" w:rsidRPr="00545CD8" w:rsidRDefault="00635195">
            <w:pPr>
              <w:pStyle w:val="Header"/>
              <w:tabs>
                <w:tab w:val="clear" w:pos="4153"/>
                <w:tab w:val="clear" w:pos="8306"/>
                <w:tab w:val="left" w:pos="720"/>
              </w:tabs>
              <w:rPr>
                <w:rFonts w:cs="Arial"/>
                <w:b/>
                <w:bCs/>
              </w:rPr>
            </w:pPr>
            <w:r>
              <w:rPr>
                <w:rFonts w:cs="Arial"/>
                <w:b/>
                <w:bCs/>
              </w:rPr>
              <w:t>Quality Code Ref</w:t>
            </w:r>
          </w:p>
        </w:tc>
      </w:tr>
      <w:tr w:rsidR="008C1B3D" w:rsidRPr="00545CD8" w:rsidTr="000F6428">
        <w:tc>
          <w:tcPr>
            <w:tcW w:w="1881" w:type="dxa"/>
          </w:tcPr>
          <w:p w:rsidR="008C1B3D" w:rsidRPr="00545CD8" w:rsidRDefault="008C1B3D">
            <w:pPr>
              <w:pStyle w:val="Heading4"/>
            </w:pPr>
            <w:r w:rsidRPr="00545CD8">
              <w:t>Principles</w:t>
            </w:r>
          </w:p>
          <w:p w:rsidR="008C1B3D" w:rsidRPr="00545CD8" w:rsidRDefault="008C1B3D">
            <w:pPr>
              <w:pStyle w:val="BodyText"/>
            </w:pPr>
          </w:p>
        </w:tc>
        <w:tc>
          <w:tcPr>
            <w:tcW w:w="5954" w:type="dxa"/>
          </w:tcPr>
          <w:p w:rsidR="008C1B3D" w:rsidRPr="00545CD8" w:rsidRDefault="008C1B3D">
            <w:r w:rsidRPr="00545CD8">
              <w:t xml:space="preserve">The principles, procedures and processes of assessment should be explicit, valid and reliable. </w:t>
            </w:r>
            <w:r w:rsidRPr="00545CD8">
              <w:rPr>
                <w:rFonts w:cs="Arial"/>
              </w:rPr>
              <w:t>The key principles that underpin this assessment policy are:</w:t>
            </w:r>
          </w:p>
          <w:p w:rsidR="008C1B3D" w:rsidRPr="00545CD8" w:rsidRDefault="008C1B3D" w:rsidP="005127E4">
            <w:pPr>
              <w:pStyle w:val="BodyTextIndent"/>
              <w:numPr>
                <w:ilvl w:val="0"/>
                <w:numId w:val="7"/>
              </w:numPr>
              <w:spacing w:before="60" w:after="60"/>
              <w:rPr>
                <w:b/>
                <w:bCs/>
              </w:rPr>
            </w:pPr>
            <w:r w:rsidRPr="00545CD8">
              <w:rPr>
                <w:b/>
                <w:bCs/>
              </w:rPr>
              <w:t>Validity</w:t>
            </w:r>
          </w:p>
          <w:p w:rsidR="008C1B3D" w:rsidRPr="00545CD8" w:rsidRDefault="008C1B3D">
            <w:pPr>
              <w:autoSpaceDE w:val="0"/>
              <w:autoSpaceDN w:val="0"/>
              <w:adjustRightInd w:val="0"/>
              <w:spacing w:before="60" w:after="60"/>
              <w:ind w:left="471"/>
              <w:rPr>
                <w:rFonts w:cs="Arial"/>
                <w:szCs w:val="23"/>
                <w:lang w:val="en-US" w:eastAsia="en-US"/>
              </w:rPr>
            </w:pPr>
            <w:r w:rsidRPr="00545CD8">
              <w:rPr>
                <w:rFonts w:cs="Arial"/>
                <w:szCs w:val="23"/>
                <w:lang w:val="en-US" w:eastAsia="en-US"/>
              </w:rPr>
              <w:t xml:space="preserve">Validity ensures assessment measures what it claims to measure. </w:t>
            </w:r>
          </w:p>
          <w:p w:rsidR="008C1B3D" w:rsidRPr="00545CD8" w:rsidRDefault="008C1B3D" w:rsidP="005127E4">
            <w:pPr>
              <w:numPr>
                <w:ilvl w:val="0"/>
                <w:numId w:val="7"/>
              </w:numPr>
              <w:autoSpaceDE w:val="0"/>
              <w:autoSpaceDN w:val="0"/>
              <w:adjustRightInd w:val="0"/>
              <w:spacing w:before="60" w:after="60"/>
              <w:rPr>
                <w:rFonts w:cs="Arial"/>
                <w:b/>
                <w:bCs/>
                <w:szCs w:val="23"/>
                <w:lang w:val="en-US" w:eastAsia="en-US"/>
              </w:rPr>
            </w:pPr>
            <w:r w:rsidRPr="00545CD8">
              <w:rPr>
                <w:rFonts w:cs="Arial"/>
                <w:b/>
                <w:bCs/>
                <w:szCs w:val="23"/>
                <w:lang w:val="en-US" w:eastAsia="en-US"/>
              </w:rPr>
              <w:t>Reliability/Consistency</w:t>
            </w:r>
          </w:p>
          <w:p w:rsidR="008C1B3D" w:rsidRPr="00545CD8" w:rsidRDefault="008C1B3D">
            <w:pPr>
              <w:pStyle w:val="BodyTextIndent"/>
              <w:autoSpaceDE w:val="0"/>
              <w:autoSpaceDN w:val="0"/>
              <w:adjustRightInd w:val="0"/>
              <w:spacing w:before="60" w:after="60"/>
              <w:ind w:left="471"/>
              <w:rPr>
                <w:rFonts w:cs="Arial"/>
                <w:szCs w:val="23"/>
                <w:lang w:val="en-US" w:eastAsia="en-US"/>
              </w:rPr>
            </w:pPr>
            <w:r w:rsidRPr="00545CD8">
              <w:rPr>
                <w:rFonts w:cs="Arial"/>
                <w:szCs w:val="23"/>
                <w:lang w:val="en-US" w:eastAsia="en-US"/>
              </w:rPr>
              <w:t>Reliability refers to the accuracy with which an assessment measures the skill or attainment it is designed to measure. A reliable assessment consistently gives the same results under similar conditions.</w:t>
            </w:r>
          </w:p>
          <w:p w:rsidR="008C1B3D" w:rsidRPr="00545CD8" w:rsidRDefault="008C1B3D" w:rsidP="005127E4">
            <w:pPr>
              <w:numPr>
                <w:ilvl w:val="0"/>
                <w:numId w:val="7"/>
              </w:numPr>
              <w:autoSpaceDE w:val="0"/>
              <w:autoSpaceDN w:val="0"/>
              <w:adjustRightInd w:val="0"/>
              <w:spacing w:before="60" w:after="60"/>
              <w:rPr>
                <w:rFonts w:cs="Arial"/>
                <w:b/>
                <w:bCs/>
                <w:szCs w:val="23"/>
                <w:lang w:val="en-US" w:eastAsia="en-US"/>
              </w:rPr>
            </w:pPr>
            <w:r w:rsidRPr="00545CD8">
              <w:rPr>
                <w:rFonts w:cs="Arial"/>
                <w:b/>
                <w:bCs/>
                <w:szCs w:val="23"/>
                <w:lang w:val="en-US" w:eastAsia="en-US"/>
              </w:rPr>
              <w:t>Fairness</w:t>
            </w:r>
            <w:r w:rsidR="00C27D43" w:rsidRPr="00545CD8">
              <w:rPr>
                <w:rFonts w:cs="Arial"/>
                <w:b/>
                <w:bCs/>
                <w:szCs w:val="23"/>
                <w:lang w:val="en-US" w:eastAsia="en-US"/>
              </w:rPr>
              <w:t xml:space="preserve"> and inclusivity</w:t>
            </w:r>
          </w:p>
          <w:p w:rsidR="008C1B3D" w:rsidRPr="00545CD8" w:rsidRDefault="008C1B3D">
            <w:pPr>
              <w:autoSpaceDE w:val="0"/>
              <w:autoSpaceDN w:val="0"/>
              <w:adjustRightInd w:val="0"/>
              <w:spacing w:before="60" w:after="60"/>
              <w:ind w:left="471"/>
            </w:pPr>
            <w:r w:rsidRPr="00545CD8">
              <w:rPr>
                <w:rFonts w:cs="Arial"/>
                <w:szCs w:val="23"/>
                <w:lang w:val="en-US" w:eastAsia="en-US"/>
              </w:rPr>
              <w:t>A fair assessment, in addition to being valid and reliable, provides equity of opportunity for learners in line with Equality legislation.</w:t>
            </w:r>
          </w:p>
          <w:p w:rsidR="008C1B3D" w:rsidRPr="00545CD8" w:rsidRDefault="008C1B3D" w:rsidP="005127E4">
            <w:pPr>
              <w:numPr>
                <w:ilvl w:val="0"/>
                <w:numId w:val="7"/>
              </w:numPr>
              <w:autoSpaceDE w:val="0"/>
              <w:autoSpaceDN w:val="0"/>
              <w:adjustRightInd w:val="0"/>
              <w:spacing w:before="60" w:after="60"/>
              <w:rPr>
                <w:rFonts w:cs="Arial"/>
                <w:b/>
                <w:bCs/>
                <w:szCs w:val="23"/>
                <w:lang w:val="en-US" w:eastAsia="en-US"/>
              </w:rPr>
            </w:pPr>
            <w:r w:rsidRPr="00545CD8">
              <w:rPr>
                <w:rFonts w:cs="Arial"/>
                <w:b/>
                <w:bCs/>
                <w:szCs w:val="23"/>
                <w:lang w:val="en-US" w:eastAsia="en-US"/>
              </w:rPr>
              <w:t>Transparency</w:t>
            </w:r>
          </w:p>
          <w:p w:rsidR="008C1B3D" w:rsidRPr="00545CD8" w:rsidRDefault="008C1B3D">
            <w:pPr>
              <w:autoSpaceDE w:val="0"/>
              <w:autoSpaceDN w:val="0"/>
              <w:adjustRightInd w:val="0"/>
              <w:spacing w:before="60" w:after="60"/>
              <w:ind w:left="471"/>
              <w:rPr>
                <w:rFonts w:cs="Arial"/>
                <w:szCs w:val="20"/>
                <w:lang w:val="en-US" w:eastAsia="en-US"/>
              </w:rPr>
            </w:pPr>
            <w:r w:rsidRPr="00545CD8">
              <w:rPr>
                <w:rFonts w:cs="Arial"/>
                <w:szCs w:val="23"/>
                <w:lang w:val="en-US" w:eastAsia="en-US"/>
              </w:rPr>
              <w:t xml:space="preserve">A transparent assessment policy and guidelines will ensure clarity and understanding by all relevant stakeholders. </w:t>
            </w:r>
          </w:p>
          <w:p w:rsidR="008C1B3D" w:rsidRPr="00545CD8" w:rsidRDefault="008C1B3D" w:rsidP="005127E4">
            <w:pPr>
              <w:numPr>
                <w:ilvl w:val="0"/>
                <w:numId w:val="7"/>
              </w:numPr>
              <w:autoSpaceDE w:val="0"/>
              <w:autoSpaceDN w:val="0"/>
              <w:adjustRightInd w:val="0"/>
              <w:spacing w:before="60" w:after="60"/>
              <w:rPr>
                <w:rFonts w:cs="Arial"/>
                <w:b/>
                <w:bCs/>
                <w:szCs w:val="23"/>
                <w:lang w:val="en-US" w:eastAsia="en-US"/>
              </w:rPr>
            </w:pPr>
            <w:r w:rsidRPr="00545CD8">
              <w:rPr>
                <w:rFonts w:cs="Arial"/>
                <w:b/>
                <w:bCs/>
                <w:szCs w:val="23"/>
                <w:lang w:val="en-US" w:eastAsia="en-US"/>
              </w:rPr>
              <w:t>Quality</w:t>
            </w:r>
          </w:p>
          <w:p w:rsidR="008C1B3D" w:rsidRPr="00545CD8" w:rsidRDefault="008C1B3D" w:rsidP="00E74195">
            <w:pPr>
              <w:ind w:left="432"/>
            </w:pPr>
            <w:r w:rsidRPr="00545CD8">
              <w:rPr>
                <w:lang w:val="en-US" w:eastAsia="en-US"/>
              </w:rPr>
              <w:t>Quality is a key principle in ensuring the credibility and status of awards. Quality will be assured through adherence to the regulations and requirements of awarding and professional bodies and the College policy and guidelines, national award standards, programme approval and validation and monitoring and evaluation.</w:t>
            </w:r>
          </w:p>
        </w:tc>
        <w:tc>
          <w:tcPr>
            <w:tcW w:w="1705" w:type="dxa"/>
          </w:tcPr>
          <w:p w:rsidR="008C1B3D" w:rsidRDefault="00DC4B21">
            <w:pPr>
              <w:pStyle w:val="Header"/>
              <w:tabs>
                <w:tab w:val="clear" w:pos="4153"/>
                <w:tab w:val="clear" w:pos="8306"/>
                <w:tab w:val="left" w:pos="720"/>
              </w:tabs>
              <w:rPr>
                <w:rFonts w:cs="Arial"/>
              </w:rPr>
            </w:pPr>
            <w:r>
              <w:rPr>
                <w:rFonts w:cs="Arial"/>
              </w:rPr>
              <w:t>Assessment:</w:t>
            </w:r>
          </w:p>
          <w:p w:rsidR="00DC4B21" w:rsidRDefault="00DC4B21">
            <w:pPr>
              <w:pStyle w:val="Header"/>
              <w:tabs>
                <w:tab w:val="clear" w:pos="4153"/>
                <w:tab w:val="clear" w:pos="8306"/>
                <w:tab w:val="left" w:pos="720"/>
              </w:tabs>
              <w:rPr>
                <w:rFonts w:cs="Arial"/>
              </w:rPr>
            </w:pPr>
            <w:r>
              <w:rPr>
                <w:rFonts w:cs="Arial"/>
              </w:rPr>
              <w:t>Core Practices 1, 2</w:t>
            </w:r>
          </w:p>
          <w:p w:rsidR="00DC4B21" w:rsidRDefault="00DC4B21">
            <w:pPr>
              <w:pStyle w:val="Header"/>
              <w:tabs>
                <w:tab w:val="clear" w:pos="4153"/>
                <w:tab w:val="clear" w:pos="8306"/>
                <w:tab w:val="left" w:pos="720"/>
              </w:tabs>
              <w:rPr>
                <w:rFonts w:cs="Arial"/>
              </w:rPr>
            </w:pPr>
            <w:r>
              <w:rPr>
                <w:rFonts w:cs="Arial"/>
              </w:rPr>
              <w:t>Guiding Principles</w:t>
            </w:r>
          </w:p>
          <w:p w:rsidR="00DC4B21" w:rsidRPr="00545CD8" w:rsidRDefault="00DC4B21">
            <w:pPr>
              <w:pStyle w:val="Header"/>
              <w:tabs>
                <w:tab w:val="clear" w:pos="4153"/>
                <w:tab w:val="clear" w:pos="8306"/>
                <w:tab w:val="left" w:pos="720"/>
              </w:tabs>
              <w:rPr>
                <w:rFonts w:cs="Arial"/>
              </w:rPr>
            </w:pPr>
            <w:r>
              <w:rPr>
                <w:rFonts w:cs="Arial"/>
              </w:rPr>
              <w:t>1, 2, 3, 4, 5, 10</w:t>
            </w:r>
          </w:p>
        </w:tc>
      </w:tr>
      <w:tr w:rsidR="008C1B3D" w:rsidRPr="00545CD8" w:rsidTr="000F6428">
        <w:tc>
          <w:tcPr>
            <w:tcW w:w="1881" w:type="dxa"/>
          </w:tcPr>
          <w:p w:rsidR="008C1B3D" w:rsidRPr="00545CD8" w:rsidRDefault="00E74195">
            <w:pPr>
              <w:pStyle w:val="BodyText2"/>
            </w:pPr>
            <w:r w:rsidRPr="00545CD8">
              <w:t>Process</w:t>
            </w:r>
          </w:p>
        </w:tc>
        <w:tc>
          <w:tcPr>
            <w:tcW w:w="5954" w:type="dxa"/>
          </w:tcPr>
          <w:p w:rsidR="008C1B3D" w:rsidRPr="00545CD8" w:rsidRDefault="00E74195">
            <w:pPr>
              <w:pStyle w:val="BodyTextIndent2"/>
              <w:ind w:left="0"/>
            </w:pPr>
            <w:r w:rsidRPr="00545CD8">
              <w:t xml:space="preserve">The college has devised a process of ensuring the quality and standards of assessment. The process covers the following areas: </w:t>
            </w:r>
          </w:p>
          <w:p w:rsidR="00E74195" w:rsidRPr="00545CD8" w:rsidRDefault="00E74195" w:rsidP="00652B41">
            <w:pPr>
              <w:pStyle w:val="BodyTextIndent2"/>
              <w:numPr>
                <w:ilvl w:val="0"/>
                <w:numId w:val="9"/>
              </w:numPr>
            </w:pPr>
            <w:r w:rsidRPr="00545CD8">
              <w:t>Setting of assessment</w:t>
            </w:r>
          </w:p>
          <w:p w:rsidR="00E74195" w:rsidRDefault="00E74195" w:rsidP="00652B41">
            <w:pPr>
              <w:pStyle w:val="BodyTextIndent2"/>
              <w:numPr>
                <w:ilvl w:val="0"/>
                <w:numId w:val="9"/>
              </w:numPr>
            </w:pPr>
            <w:r w:rsidRPr="00545CD8">
              <w:t>Conduct of assessment</w:t>
            </w:r>
          </w:p>
          <w:p w:rsidR="00804C73" w:rsidRPr="00545CD8" w:rsidRDefault="00804C73" w:rsidP="00652B41">
            <w:pPr>
              <w:pStyle w:val="BodyTextIndent2"/>
              <w:numPr>
                <w:ilvl w:val="0"/>
                <w:numId w:val="9"/>
              </w:numPr>
            </w:pPr>
            <w:r w:rsidRPr="00010AE5">
              <w:t>Draft Submissions</w:t>
            </w:r>
          </w:p>
          <w:p w:rsidR="00E74195" w:rsidRPr="00545CD8" w:rsidRDefault="00E74195" w:rsidP="00652B41">
            <w:pPr>
              <w:pStyle w:val="BodyTextIndent2"/>
              <w:numPr>
                <w:ilvl w:val="0"/>
                <w:numId w:val="9"/>
              </w:numPr>
            </w:pPr>
            <w:r w:rsidRPr="00545CD8">
              <w:t>Submission of assessment</w:t>
            </w:r>
          </w:p>
          <w:p w:rsidR="00E74195" w:rsidRPr="00545CD8" w:rsidRDefault="00E74195" w:rsidP="00652B41">
            <w:pPr>
              <w:pStyle w:val="BodyTextIndent2"/>
              <w:numPr>
                <w:ilvl w:val="0"/>
                <w:numId w:val="9"/>
              </w:numPr>
            </w:pPr>
            <w:r w:rsidRPr="00545CD8">
              <w:t>Marking and grading</w:t>
            </w:r>
          </w:p>
          <w:p w:rsidR="00E74195" w:rsidRPr="00545CD8" w:rsidRDefault="00E74195" w:rsidP="00652B41">
            <w:pPr>
              <w:pStyle w:val="BodyTextIndent2"/>
              <w:numPr>
                <w:ilvl w:val="0"/>
                <w:numId w:val="9"/>
              </w:numPr>
            </w:pPr>
            <w:r w:rsidRPr="00545CD8">
              <w:t xml:space="preserve">Internal </w:t>
            </w:r>
            <w:r w:rsidR="008E3588">
              <w:t xml:space="preserve">and </w:t>
            </w:r>
            <w:r w:rsidR="008E3588" w:rsidRPr="00351F28">
              <w:t>External</w:t>
            </w:r>
            <w:r w:rsidR="008E3588">
              <w:t xml:space="preserve"> </w:t>
            </w:r>
            <w:r w:rsidRPr="00545CD8">
              <w:t>moderation</w:t>
            </w:r>
          </w:p>
          <w:p w:rsidR="0012311E" w:rsidRPr="00545CD8" w:rsidRDefault="0012311E" w:rsidP="00652B41">
            <w:pPr>
              <w:pStyle w:val="BodyTextIndent2"/>
              <w:numPr>
                <w:ilvl w:val="0"/>
                <w:numId w:val="9"/>
              </w:numPr>
            </w:pPr>
            <w:r w:rsidRPr="00545CD8">
              <w:t>Examination Committees and Boards of Examiners</w:t>
            </w:r>
          </w:p>
          <w:p w:rsidR="00E74195" w:rsidRPr="00545CD8" w:rsidRDefault="00E74195" w:rsidP="00652B41">
            <w:pPr>
              <w:pStyle w:val="BodyTextIndent2"/>
              <w:numPr>
                <w:ilvl w:val="0"/>
                <w:numId w:val="9"/>
              </w:numPr>
            </w:pPr>
            <w:r w:rsidRPr="00545CD8">
              <w:t>Feedback to students on performance</w:t>
            </w:r>
          </w:p>
          <w:p w:rsidR="00E74195" w:rsidRPr="00545CD8" w:rsidRDefault="00E74195" w:rsidP="00652B41">
            <w:pPr>
              <w:pStyle w:val="BodyTextIndent2"/>
              <w:numPr>
                <w:ilvl w:val="0"/>
                <w:numId w:val="9"/>
              </w:numPr>
            </w:pPr>
            <w:r w:rsidRPr="00545CD8">
              <w:t>Recording documentation and publication of assessment results</w:t>
            </w:r>
          </w:p>
          <w:p w:rsidR="00E74195" w:rsidRDefault="00E74195" w:rsidP="00652B41">
            <w:pPr>
              <w:pStyle w:val="BodyTextIndent2"/>
              <w:numPr>
                <w:ilvl w:val="0"/>
                <w:numId w:val="9"/>
              </w:numPr>
            </w:pPr>
            <w:r w:rsidRPr="00545CD8">
              <w:t xml:space="preserve">Monitoring and review of assessment </w:t>
            </w:r>
            <w:r w:rsidR="0012311E" w:rsidRPr="00545CD8">
              <w:t>outcomes and practice</w:t>
            </w:r>
          </w:p>
          <w:p w:rsidR="008E3588" w:rsidRPr="00545CD8" w:rsidRDefault="008E3588" w:rsidP="00C52D40">
            <w:pPr>
              <w:pStyle w:val="BodyTextIndent2"/>
              <w:ind w:left="0"/>
            </w:pPr>
            <w:r>
              <w:lastRenderedPageBreak/>
              <w:t xml:space="preserve">(Please see Assessment </w:t>
            </w:r>
            <w:r w:rsidR="00C52D40">
              <w:t>and Moderation Handbook</w:t>
            </w:r>
            <w:r>
              <w:t xml:space="preserve"> for full detail)</w:t>
            </w:r>
          </w:p>
        </w:tc>
        <w:tc>
          <w:tcPr>
            <w:tcW w:w="1705" w:type="dxa"/>
          </w:tcPr>
          <w:p w:rsidR="00DC4B21" w:rsidRDefault="00DC4B21" w:rsidP="00DC4B21">
            <w:pPr>
              <w:pStyle w:val="Header"/>
              <w:tabs>
                <w:tab w:val="clear" w:pos="4153"/>
                <w:tab w:val="clear" w:pos="8306"/>
                <w:tab w:val="left" w:pos="720"/>
              </w:tabs>
              <w:rPr>
                <w:rFonts w:cs="Arial"/>
              </w:rPr>
            </w:pPr>
            <w:r>
              <w:rPr>
                <w:rFonts w:cs="Arial"/>
              </w:rPr>
              <w:lastRenderedPageBreak/>
              <w:t>Assessment:</w:t>
            </w:r>
          </w:p>
          <w:p w:rsidR="00DC4B21" w:rsidRDefault="00DC4B21" w:rsidP="00DC4B21">
            <w:pPr>
              <w:pStyle w:val="Header"/>
              <w:tabs>
                <w:tab w:val="clear" w:pos="4153"/>
                <w:tab w:val="clear" w:pos="8306"/>
                <w:tab w:val="left" w:pos="720"/>
              </w:tabs>
              <w:rPr>
                <w:rFonts w:cs="Arial"/>
              </w:rPr>
            </w:pPr>
            <w:r>
              <w:rPr>
                <w:rFonts w:cs="Arial"/>
              </w:rPr>
              <w:t>Core Practices 1, 2</w:t>
            </w:r>
          </w:p>
          <w:p w:rsidR="00DC4B21" w:rsidRDefault="00DC4B21" w:rsidP="00DC4B21">
            <w:pPr>
              <w:pStyle w:val="Header"/>
              <w:tabs>
                <w:tab w:val="clear" w:pos="4153"/>
                <w:tab w:val="clear" w:pos="8306"/>
                <w:tab w:val="left" w:pos="720"/>
              </w:tabs>
              <w:rPr>
                <w:rFonts w:cs="Arial"/>
              </w:rPr>
            </w:pPr>
            <w:r>
              <w:rPr>
                <w:rFonts w:cs="Arial"/>
              </w:rPr>
              <w:t>Guiding Principles</w:t>
            </w:r>
          </w:p>
          <w:p w:rsidR="008E3588" w:rsidRPr="00545CD8" w:rsidRDefault="00DC4B21" w:rsidP="00DC4B21">
            <w:pPr>
              <w:pStyle w:val="Header"/>
              <w:tabs>
                <w:tab w:val="clear" w:pos="4153"/>
                <w:tab w:val="clear" w:pos="8306"/>
                <w:tab w:val="left" w:pos="720"/>
              </w:tabs>
              <w:rPr>
                <w:rFonts w:cs="Arial"/>
              </w:rPr>
            </w:pPr>
            <w:r>
              <w:rPr>
                <w:rFonts w:cs="Arial"/>
              </w:rPr>
              <w:t>1, 2, 3, 4, 5, 6, 7, 8, 9, 10</w:t>
            </w:r>
          </w:p>
        </w:tc>
      </w:tr>
      <w:tr w:rsidR="00DD299B" w:rsidRPr="00545CD8" w:rsidTr="000F6428">
        <w:tc>
          <w:tcPr>
            <w:tcW w:w="1881" w:type="dxa"/>
          </w:tcPr>
          <w:p w:rsidR="00DD299B" w:rsidRPr="00545CD8" w:rsidRDefault="00DD299B" w:rsidP="00DD299B">
            <w:pPr>
              <w:pStyle w:val="BodyText2"/>
              <w:rPr>
                <w:b w:val="0"/>
                <w:bCs w:val="0"/>
              </w:rPr>
            </w:pPr>
            <w:r>
              <w:t>Internal Moderation</w:t>
            </w:r>
          </w:p>
        </w:tc>
        <w:tc>
          <w:tcPr>
            <w:tcW w:w="5954" w:type="dxa"/>
          </w:tcPr>
          <w:p w:rsidR="00DD299B" w:rsidRDefault="00BD6CF8" w:rsidP="00BD6CF8">
            <w:pPr>
              <w:pStyle w:val="BodyTextIndent2"/>
              <w:ind w:left="0"/>
            </w:pPr>
            <w:r>
              <w:t>Internal Moderation is the process through which someone independent to the assessment process will sample all or a percentage of the assessments from a group of students. Internal Moderation will be planned to cover:</w:t>
            </w:r>
          </w:p>
          <w:p w:rsidR="00BD6CF8" w:rsidRDefault="00BD6CF8" w:rsidP="00BD6CF8">
            <w:pPr>
              <w:pStyle w:val="BodyTextIndent2"/>
              <w:numPr>
                <w:ilvl w:val="0"/>
                <w:numId w:val="16"/>
              </w:numPr>
            </w:pPr>
            <w:r>
              <w:t>All students;</w:t>
            </w:r>
          </w:p>
          <w:p w:rsidR="00BD6CF8" w:rsidRDefault="00BD6CF8" w:rsidP="00BD6CF8">
            <w:pPr>
              <w:pStyle w:val="BodyTextIndent2"/>
              <w:numPr>
                <w:ilvl w:val="0"/>
                <w:numId w:val="16"/>
              </w:numPr>
            </w:pPr>
            <w:r>
              <w:t>All modules and assessments;</w:t>
            </w:r>
          </w:p>
          <w:p w:rsidR="00BD6CF8" w:rsidRDefault="00BD6CF8" w:rsidP="00BD6CF8">
            <w:pPr>
              <w:pStyle w:val="BodyTextIndent2"/>
              <w:numPr>
                <w:ilvl w:val="0"/>
                <w:numId w:val="16"/>
              </w:numPr>
            </w:pPr>
            <w:r>
              <w:t xml:space="preserve">All assessors/tutors making assessment decisions; </w:t>
            </w:r>
          </w:p>
          <w:p w:rsidR="00BD6CF8" w:rsidRDefault="00BD6CF8" w:rsidP="00BD6CF8">
            <w:pPr>
              <w:pStyle w:val="BodyTextIndent2"/>
              <w:numPr>
                <w:ilvl w:val="0"/>
                <w:numId w:val="16"/>
              </w:numPr>
            </w:pPr>
            <w:r>
              <w:t>All assessed work graded &lt;40% and &gt;70%;</w:t>
            </w:r>
          </w:p>
          <w:p w:rsidR="00BD6CF8" w:rsidRDefault="00BD6CF8" w:rsidP="00BD6CF8">
            <w:pPr>
              <w:pStyle w:val="BodyTextIndent2"/>
              <w:numPr>
                <w:ilvl w:val="0"/>
                <w:numId w:val="16"/>
              </w:numPr>
            </w:pPr>
            <w:r>
              <w:t>A sample of work across each of the grade boundaries, including borderline grades;</w:t>
            </w:r>
          </w:p>
          <w:p w:rsidR="0096363B" w:rsidRDefault="0096363B" w:rsidP="0096363B">
            <w:pPr>
              <w:pStyle w:val="BodyTextIndent2"/>
              <w:ind w:left="0"/>
            </w:pPr>
            <w:r>
              <w:t>The sample size will be based on the square root of the cohort size but will be no smaller than 6 and no larger than 15.</w:t>
            </w:r>
          </w:p>
          <w:p w:rsidR="00BD6CF8" w:rsidRDefault="00BD6CF8" w:rsidP="00BD6CF8">
            <w:pPr>
              <w:pStyle w:val="BodyTextIndent2"/>
              <w:ind w:left="0"/>
            </w:pPr>
            <w:r>
              <w:t xml:space="preserve">The sampling plan devised </w:t>
            </w:r>
            <w:r w:rsidR="00552C01">
              <w:t xml:space="preserve">also </w:t>
            </w:r>
            <w:r>
              <w:t>will be based on identified risk, considering:</w:t>
            </w:r>
          </w:p>
          <w:p w:rsidR="00BD6CF8" w:rsidRDefault="00C52D40" w:rsidP="00BD6CF8">
            <w:pPr>
              <w:pStyle w:val="BodyTextIndent2"/>
              <w:numPr>
                <w:ilvl w:val="0"/>
                <w:numId w:val="17"/>
              </w:numPr>
            </w:pPr>
            <w:r>
              <w:t>New tutors to the programme;</w:t>
            </w:r>
          </w:p>
          <w:p w:rsidR="00BD6CF8" w:rsidRDefault="00C52D40" w:rsidP="00BD6CF8">
            <w:pPr>
              <w:pStyle w:val="BodyTextIndent2"/>
              <w:numPr>
                <w:ilvl w:val="0"/>
                <w:numId w:val="17"/>
              </w:numPr>
            </w:pPr>
            <w:r>
              <w:t>New modules;</w:t>
            </w:r>
          </w:p>
          <w:p w:rsidR="00552C01" w:rsidRDefault="00552C01" w:rsidP="00552C01">
            <w:pPr>
              <w:pStyle w:val="BodyTextIndent2"/>
              <w:numPr>
                <w:ilvl w:val="0"/>
                <w:numId w:val="17"/>
              </w:numPr>
            </w:pPr>
            <w:r>
              <w:t xml:space="preserve">Specific </w:t>
            </w:r>
            <w:r w:rsidR="00C52D40">
              <w:t xml:space="preserve">Modules </w:t>
            </w:r>
          </w:p>
          <w:p w:rsidR="00C52D40" w:rsidRPr="00545CD8" w:rsidRDefault="00C52D40" w:rsidP="00552C01">
            <w:pPr>
              <w:pStyle w:val="BodyTextIndent2"/>
              <w:ind w:left="0"/>
            </w:pPr>
            <w:r>
              <w:t>(Please see Assessment and Moderation Handbook for full detail)</w:t>
            </w:r>
          </w:p>
        </w:tc>
        <w:tc>
          <w:tcPr>
            <w:tcW w:w="1705" w:type="dxa"/>
          </w:tcPr>
          <w:p w:rsidR="00DC4B21" w:rsidRDefault="00DC4B21" w:rsidP="00DC4B21">
            <w:pPr>
              <w:pStyle w:val="Header"/>
              <w:tabs>
                <w:tab w:val="clear" w:pos="4153"/>
                <w:tab w:val="clear" w:pos="8306"/>
                <w:tab w:val="left" w:pos="720"/>
              </w:tabs>
              <w:rPr>
                <w:rFonts w:cs="Arial"/>
              </w:rPr>
            </w:pPr>
            <w:r>
              <w:rPr>
                <w:rFonts w:cs="Arial"/>
              </w:rPr>
              <w:t>Assessment:</w:t>
            </w:r>
          </w:p>
          <w:p w:rsidR="00DC4B21" w:rsidRDefault="00DC4B21" w:rsidP="00DC4B21">
            <w:pPr>
              <w:pStyle w:val="Header"/>
              <w:tabs>
                <w:tab w:val="clear" w:pos="4153"/>
                <w:tab w:val="clear" w:pos="8306"/>
                <w:tab w:val="left" w:pos="720"/>
              </w:tabs>
              <w:rPr>
                <w:rFonts w:cs="Arial"/>
              </w:rPr>
            </w:pPr>
            <w:r>
              <w:rPr>
                <w:rFonts w:cs="Arial"/>
              </w:rPr>
              <w:t>Core Practices 1, 2</w:t>
            </w:r>
          </w:p>
          <w:p w:rsidR="00DC4B21" w:rsidRDefault="00DC4B21" w:rsidP="00DC4B21">
            <w:pPr>
              <w:pStyle w:val="Header"/>
              <w:tabs>
                <w:tab w:val="clear" w:pos="4153"/>
                <w:tab w:val="clear" w:pos="8306"/>
                <w:tab w:val="left" w:pos="720"/>
              </w:tabs>
              <w:rPr>
                <w:rFonts w:cs="Arial"/>
              </w:rPr>
            </w:pPr>
            <w:r>
              <w:rPr>
                <w:rFonts w:cs="Arial"/>
              </w:rPr>
              <w:t>Guiding Principles</w:t>
            </w:r>
          </w:p>
          <w:p w:rsidR="00C52D40" w:rsidRPr="00C52D40" w:rsidRDefault="00DC4B21" w:rsidP="00DC4B21">
            <w:pPr>
              <w:pStyle w:val="Header"/>
              <w:tabs>
                <w:tab w:val="clear" w:pos="4153"/>
                <w:tab w:val="clear" w:pos="8306"/>
                <w:tab w:val="left" w:pos="720"/>
              </w:tabs>
              <w:rPr>
                <w:rFonts w:cs="Arial"/>
                <w:i/>
              </w:rPr>
            </w:pPr>
            <w:r>
              <w:rPr>
                <w:rFonts w:cs="Arial"/>
              </w:rPr>
              <w:t>1, 2, 3, 4, 5, 6, 7, 8, 9, 10</w:t>
            </w:r>
          </w:p>
        </w:tc>
      </w:tr>
      <w:tr w:rsidR="00DD299B" w:rsidRPr="00545CD8" w:rsidTr="000F6428">
        <w:tc>
          <w:tcPr>
            <w:tcW w:w="1881" w:type="dxa"/>
          </w:tcPr>
          <w:p w:rsidR="00DD299B" w:rsidRPr="00545CD8" w:rsidRDefault="00DD299B" w:rsidP="00DD299B">
            <w:pPr>
              <w:pStyle w:val="BodyText2"/>
            </w:pPr>
            <w:r>
              <w:t>External Moderation</w:t>
            </w:r>
          </w:p>
          <w:p w:rsidR="00DD299B" w:rsidRPr="00545CD8" w:rsidRDefault="00DD299B" w:rsidP="00DD299B">
            <w:pPr>
              <w:pStyle w:val="BodyTextIndent2"/>
              <w:ind w:left="0"/>
              <w:rPr>
                <w:b/>
                <w:bCs/>
              </w:rPr>
            </w:pPr>
          </w:p>
        </w:tc>
        <w:tc>
          <w:tcPr>
            <w:tcW w:w="5954" w:type="dxa"/>
          </w:tcPr>
          <w:p w:rsidR="000336E5" w:rsidRDefault="000336E5" w:rsidP="000336E5">
            <w:pPr>
              <w:pStyle w:val="Default"/>
              <w:rPr>
                <w:rFonts w:ascii="Arial" w:hAnsi="Arial" w:cs="Arial"/>
                <w:sz w:val="22"/>
                <w:szCs w:val="22"/>
              </w:rPr>
            </w:pPr>
            <w:r>
              <w:rPr>
                <w:rFonts w:ascii="Arial" w:hAnsi="Arial" w:cs="Arial"/>
                <w:sz w:val="22"/>
                <w:szCs w:val="22"/>
              </w:rPr>
              <w:t>External Examiners will be appointed for a standard period of tenure for each award.</w:t>
            </w:r>
          </w:p>
          <w:p w:rsidR="000336E5" w:rsidRDefault="000336E5" w:rsidP="000336E5">
            <w:pPr>
              <w:pStyle w:val="Default"/>
              <w:rPr>
                <w:rFonts w:ascii="Arial" w:hAnsi="Arial" w:cs="Arial"/>
                <w:sz w:val="22"/>
                <w:szCs w:val="22"/>
              </w:rPr>
            </w:pPr>
          </w:p>
          <w:p w:rsidR="00B37669" w:rsidRDefault="000336E5" w:rsidP="000336E5">
            <w:pPr>
              <w:pStyle w:val="Default"/>
              <w:rPr>
                <w:rFonts w:ascii="Arial" w:hAnsi="Arial" w:cs="Arial"/>
                <w:sz w:val="22"/>
                <w:szCs w:val="22"/>
              </w:rPr>
            </w:pPr>
            <w:r>
              <w:rPr>
                <w:rFonts w:ascii="Arial" w:hAnsi="Arial" w:cs="Arial"/>
                <w:sz w:val="22"/>
                <w:szCs w:val="22"/>
              </w:rPr>
              <w:t>For awards validated by a HEI</w:t>
            </w:r>
            <w:r w:rsidR="00B37669">
              <w:rPr>
                <w:rFonts w:ascii="Arial" w:hAnsi="Arial" w:cs="Arial"/>
                <w:sz w:val="22"/>
                <w:szCs w:val="22"/>
              </w:rPr>
              <w:t>:</w:t>
            </w:r>
          </w:p>
          <w:p w:rsidR="00B37669" w:rsidRDefault="00B37669" w:rsidP="000336E5">
            <w:pPr>
              <w:pStyle w:val="Default"/>
              <w:rPr>
                <w:rFonts w:ascii="Arial" w:hAnsi="Arial" w:cs="Arial"/>
                <w:sz w:val="22"/>
                <w:szCs w:val="22"/>
              </w:rPr>
            </w:pPr>
          </w:p>
          <w:p w:rsidR="00B37669" w:rsidRDefault="00B37669" w:rsidP="00B37669">
            <w:pPr>
              <w:pStyle w:val="Default"/>
              <w:numPr>
                <w:ilvl w:val="0"/>
                <w:numId w:val="20"/>
              </w:numPr>
              <w:rPr>
                <w:rFonts w:ascii="Arial" w:hAnsi="Arial" w:cs="Arial"/>
                <w:sz w:val="22"/>
                <w:szCs w:val="22"/>
              </w:rPr>
            </w:pPr>
            <w:r>
              <w:rPr>
                <w:rFonts w:ascii="Arial" w:hAnsi="Arial" w:cs="Arial"/>
                <w:sz w:val="22"/>
                <w:szCs w:val="22"/>
              </w:rPr>
              <w:t>T</w:t>
            </w:r>
            <w:r w:rsidR="000336E5">
              <w:rPr>
                <w:rFonts w:ascii="Arial" w:hAnsi="Arial" w:cs="Arial"/>
                <w:sz w:val="22"/>
                <w:szCs w:val="22"/>
              </w:rPr>
              <w:t>he academic regulations of th</w:t>
            </w:r>
            <w:r>
              <w:rPr>
                <w:rFonts w:ascii="Arial" w:hAnsi="Arial" w:cs="Arial"/>
                <w:sz w:val="22"/>
                <w:szCs w:val="22"/>
              </w:rPr>
              <w:t>e</w:t>
            </w:r>
            <w:r w:rsidR="000336E5">
              <w:rPr>
                <w:rFonts w:ascii="Arial" w:hAnsi="Arial" w:cs="Arial"/>
                <w:sz w:val="22"/>
                <w:szCs w:val="22"/>
              </w:rPr>
              <w:t xml:space="preserve"> </w:t>
            </w:r>
            <w:r>
              <w:rPr>
                <w:rFonts w:ascii="Arial" w:hAnsi="Arial" w:cs="Arial"/>
                <w:sz w:val="22"/>
                <w:szCs w:val="22"/>
              </w:rPr>
              <w:t>institution will be implemented in relation to appointment, training, the examining process and requirements and reporting mechanisms;</w:t>
            </w:r>
          </w:p>
          <w:p w:rsidR="00B37669" w:rsidRDefault="00B37669" w:rsidP="00B37669">
            <w:pPr>
              <w:pStyle w:val="Default"/>
              <w:numPr>
                <w:ilvl w:val="0"/>
                <w:numId w:val="20"/>
              </w:numPr>
              <w:rPr>
                <w:rFonts w:ascii="Arial" w:hAnsi="Arial" w:cs="Arial"/>
                <w:sz w:val="22"/>
                <w:szCs w:val="22"/>
              </w:rPr>
            </w:pPr>
            <w:r>
              <w:rPr>
                <w:rFonts w:ascii="Arial" w:hAnsi="Arial" w:cs="Arial"/>
                <w:sz w:val="22"/>
                <w:szCs w:val="22"/>
              </w:rPr>
              <w:t>Information relating to the process will be provided by the HEI;</w:t>
            </w:r>
          </w:p>
          <w:p w:rsidR="00B37669" w:rsidRPr="00B37669" w:rsidRDefault="00B37669" w:rsidP="00B37669">
            <w:pPr>
              <w:pStyle w:val="Default"/>
              <w:rPr>
                <w:rFonts w:ascii="Arial" w:hAnsi="Arial" w:cs="Arial"/>
                <w:sz w:val="22"/>
                <w:szCs w:val="22"/>
              </w:rPr>
            </w:pPr>
          </w:p>
          <w:p w:rsidR="000336E5" w:rsidRDefault="000336E5" w:rsidP="000336E5">
            <w:pPr>
              <w:pStyle w:val="Default"/>
              <w:rPr>
                <w:rFonts w:ascii="Arial" w:hAnsi="Arial" w:cs="Arial"/>
                <w:sz w:val="22"/>
                <w:szCs w:val="22"/>
              </w:rPr>
            </w:pPr>
          </w:p>
          <w:p w:rsidR="000336E5" w:rsidRDefault="000336E5" w:rsidP="000336E5">
            <w:pPr>
              <w:pStyle w:val="Default"/>
              <w:rPr>
                <w:rFonts w:ascii="Arial" w:hAnsi="Arial" w:cs="Arial"/>
                <w:sz w:val="22"/>
                <w:szCs w:val="22"/>
              </w:rPr>
            </w:pPr>
            <w:r>
              <w:rPr>
                <w:rFonts w:ascii="Arial" w:hAnsi="Arial" w:cs="Arial"/>
                <w:sz w:val="22"/>
                <w:szCs w:val="22"/>
              </w:rPr>
              <w:t>For awards validated by Leeds City College</w:t>
            </w:r>
            <w:r w:rsidR="00B37669">
              <w:rPr>
                <w:rFonts w:ascii="Arial" w:hAnsi="Arial" w:cs="Arial"/>
                <w:sz w:val="22"/>
                <w:szCs w:val="22"/>
              </w:rPr>
              <w:t>:</w:t>
            </w:r>
          </w:p>
          <w:p w:rsidR="00B37669" w:rsidRDefault="00B37669" w:rsidP="000336E5">
            <w:pPr>
              <w:pStyle w:val="Default"/>
              <w:rPr>
                <w:rFonts w:ascii="Arial" w:hAnsi="Arial" w:cs="Arial"/>
                <w:sz w:val="22"/>
                <w:szCs w:val="22"/>
              </w:rPr>
            </w:pPr>
          </w:p>
          <w:p w:rsidR="00B37669" w:rsidRDefault="00B37669" w:rsidP="00B37669">
            <w:pPr>
              <w:pStyle w:val="Default"/>
              <w:numPr>
                <w:ilvl w:val="0"/>
                <w:numId w:val="20"/>
              </w:numPr>
              <w:rPr>
                <w:rFonts w:ascii="Arial" w:hAnsi="Arial" w:cs="Arial"/>
                <w:sz w:val="22"/>
                <w:szCs w:val="22"/>
              </w:rPr>
            </w:pPr>
            <w:r>
              <w:rPr>
                <w:rFonts w:ascii="Arial" w:hAnsi="Arial" w:cs="Arial"/>
                <w:sz w:val="22"/>
                <w:szCs w:val="22"/>
              </w:rPr>
              <w:t>The Leeds City College Higher Education Academic Regulations will be implemented in relation to appointment, training, the examining process and requirements and reporting mechanisms;</w:t>
            </w:r>
          </w:p>
          <w:p w:rsidR="00B37669" w:rsidRDefault="00B37669" w:rsidP="000336E5">
            <w:pPr>
              <w:pStyle w:val="Default"/>
              <w:rPr>
                <w:rFonts w:ascii="Arial" w:hAnsi="Arial" w:cs="Arial"/>
                <w:sz w:val="22"/>
                <w:szCs w:val="22"/>
              </w:rPr>
            </w:pPr>
          </w:p>
          <w:p w:rsidR="00B37669" w:rsidRDefault="00B37669" w:rsidP="000336E5">
            <w:pPr>
              <w:pStyle w:val="Default"/>
              <w:rPr>
                <w:rFonts w:ascii="Arial" w:hAnsi="Arial" w:cs="Arial"/>
                <w:sz w:val="22"/>
                <w:szCs w:val="22"/>
              </w:rPr>
            </w:pPr>
            <w:r>
              <w:rPr>
                <w:rFonts w:ascii="Arial" w:hAnsi="Arial" w:cs="Arial"/>
                <w:sz w:val="22"/>
                <w:szCs w:val="22"/>
              </w:rPr>
              <w:t>(see the Assessment and Moderation Handbook, and the External Examiner Handbook for full details)</w:t>
            </w:r>
          </w:p>
          <w:p w:rsidR="000336E5" w:rsidRDefault="000336E5" w:rsidP="000336E5">
            <w:pPr>
              <w:pStyle w:val="Default"/>
              <w:rPr>
                <w:rFonts w:ascii="Arial" w:hAnsi="Arial" w:cs="Arial"/>
                <w:sz w:val="22"/>
                <w:szCs w:val="22"/>
              </w:rPr>
            </w:pPr>
          </w:p>
          <w:p w:rsidR="000336E5" w:rsidRPr="000336E5" w:rsidRDefault="000336E5" w:rsidP="000336E5">
            <w:pPr>
              <w:pStyle w:val="Default"/>
              <w:rPr>
                <w:rFonts w:ascii="Arial" w:hAnsi="Arial" w:cs="Arial"/>
                <w:sz w:val="22"/>
                <w:szCs w:val="22"/>
              </w:rPr>
            </w:pPr>
            <w:r w:rsidRPr="000336E5">
              <w:rPr>
                <w:rFonts w:ascii="Arial" w:hAnsi="Arial" w:cs="Arial"/>
                <w:sz w:val="22"/>
                <w:szCs w:val="22"/>
              </w:rPr>
              <w:t>To ensure the quality of its provision and maintain the standards of its awards, the College</w:t>
            </w:r>
            <w:r>
              <w:rPr>
                <w:rFonts w:ascii="Arial" w:hAnsi="Arial" w:cs="Arial"/>
                <w:sz w:val="22"/>
                <w:szCs w:val="22"/>
              </w:rPr>
              <w:t xml:space="preserve"> places s</w:t>
            </w:r>
            <w:r w:rsidRPr="000336E5">
              <w:rPr>
                <w:rFonts w:ascii="Arial" w:hAnsi="Arial" w:cs="Arial"/>
                <w:sz w:val="22"/>
                <w:szCs w:val="22"/>
              </w:rPr>
              <w:t xml:space="preserve">ignificant reliance on its External Examiners by: </w:t>
            </w:r>
          </w:p>
          <w:p w:rsidR="000336E5" w:rsidRPr="000336E5" w:rsidRDefault="000336E5" w:rsidP="000336E5">
            <w:pPr>
              <w:pStyle w:val="Default"/>
              <w:rPr>
                <w:rFonts w:ascii="Arial" w:hAnsi="Arial" w:cs="Arial"/>
                <w:sz w:val="22"/>
                <w:szCs w:val="22"/>
              </w:rPr>
            </w:pPr>
          </w:p>
          <w:p w:rsidR="000336E5" w:rsidRPr="000336E5" w:rsidRDefault="000336E5" w:rsidP="000336E5">
            <w:pPr>
              <w:pStyle w:val="Default"/>
              <w:numPr>
                <w:ilvl w:val="0"/>
                <w:numId w:val="18"/>
              </w:numPr>
              <w:rPr>
                <w:rFonts w:ascii="Arial" w:hAnsi="Arial" w:cs="Arial"/>
                <w:sz w:val="22"/>
                <w:szCs w:val="22"/>
              </w:rPr>
            </w:pPr>
            <w:r w:rsidRPr="000336E5">
              <w:rPr>
                <w:rFonts w:ascii="Arial" w:hAnsi="Arial" w:cs="Arial"/>
                <w:sz w:val="22"/>
                <w:szCs w:val="22"/>
              </w:rPr>
              <w:t xml:space="preserve">Requiring </w:t>
            </w:r>
            <w:r>
              <w:rPr>
                <w:rFonts w:ascii="Arial" w:hAnsi="Arial" w:cs="Arial"/>
                <w:sz w:val="22"/>
                <w:szCs w:val="22"/>
              </w:rPr>
              <w:t>them</w:t>
            </w:r>
            <w:r w:rsidRPr="000336E5">
              <w:rPr>
                <w:rFonts w:ascii="Arial" w:hAnsi="Arial" w:cs="Arial"/>
                <w:sz w:val="22"/>
                <w:szCs w:val="22"/>
              </w:rPr>
              <w:t xml:space="preserve"> to provide informed, independent and impartial judgements and advice to the College;</w:t>
            </w:r>
          </w:p>
          <w:p w:rsidR="000336E5" w:rsidRPr="000336E5" w:rsidRDefault="000336E5" w:rsidP="000336E5">
            <w:pPr>
              <w:pStyle w:val="Default"/>
              <w:numPr>
                <w:ilvl w:val="0"/>
                <w:numId w:val="18"/>
              </w:numPr>
              <w:rPr>
                <w:rFonts w:ascii="Arial" w:hAnsi="Arial" w:cs="Arial"/>
                <w:sz w:val="22"/>
                <w:szCs w:val="22"/>
              </w:rPr>
            </w:pPr>
            <w:r w:rsidRPr="000336E5">
              <w:rPr>
                <w:rFonts w:ascii="Arial" w:hAnsi="Arial" w:cs="Arial"/>
                <w:sz w:val="22"/>
                <w:szCs w:val="22"/>
              </w:rPr>
              <w:t xml:space="preserve">Drawing upon </w:t>
            </w:r>
            <w:r>
              <w:rPr>
                <w:rFonts w:ascii="Arial" w:hAnsi="Arial" w:cs="Arial"/>
                <w:sz w:val="22"/>
                <w:szCs w:val="22"/>
              </w:rPr>
              <w:t>their</w:t>
            </w:r>
            <w:r w:rsidRPr="000336E5">
              <w:rPr>
                <w:rFonts w:ascii="Arial" w:hAnsi="Arial" w:cs="Arial"/>
                <w:sz w:val="22"/>
                <w:szCs w:val="22"/>
              </w:rPr>
              <w:t xml:space="preserve"> professional advice and expertise and giving serious and active consideration to </w:t>
            </w:r>
            <w:r>
              <w:rPr>
                <w:rFonts w:ascii="Arial" w:hAnsi="Arial" w:cs="Arial"/>
                <w:sz w:val="22"/>
                <w:szCs w:val="22"/>
              </w:rPr>
              <w:t>their</w:t>
            </w:r>
            <w:r w:rsidRPr="000336E5">
              <w:rPr>
                <w:rFonts w:ascii="Arial" w:hAnsi="Arial" w:cs="Arial"/>
                <w:sz w:val="22"/>
                <w:szCs w:val="22"/>
              </w:rPr>
              <w:t xml:space="preserve"> reports; </w:t>
            </w:r>
          </w:p>
          <w:p w:rsidR="000336E5" w:rsidRPr="000336E5" w:rsidRDefault="000336E5" w:rsidP="000336E5">
            <w:pPr>
              <w:pStyle w:val="Default"/>
              <w:rPr>
                <w:rFonts w:ascii="Arial" w:hAnsi="Arial" w:cs="Arial"/>
                <w:sz w:val="22"/>
                <w:szCs w:val="22"/>
              </w:rPr>
            </w:pPr>
          </w:p>
          <w:p w:rsidR="000336E5" w:rsidRPr="000336E5" w:rsidRDefault="000336E5" w:rsidP="000336E5">
            <w:pPr>
              <w:pStyle w:val="Default"/>
              <w:rPr>
                <w:rFonts w:ascii="Arial" w:hAnsi="Arial" w:cs="Arial"/>
                <w:sz w:val="22"/>
                <w:szCs w:val="22"/>
              </w:rPr>
            </w:pPr>
            <w:r w:rsidRPr="000336E5">
              <w:rPr>
                <w:rFonts w:ascii="Arial" w:hAnsi="Arial" w:cs="Arial"/>
                <w:sz w:val="22"/>
                <w:szCs w:val="22"/>
              </w:rPr>
              <w:t>The purposes of the External Examiner process</w:t>
            </w:r>
            <w:r w:rsidR="00231650">
              <w:rPr>
                <w:rFonts w:ascii="Arial" w:hAnsi="Arial" w:cs="Arial"/>
                <w:sz w:val="22"/>
                <w:szCs w:val="22"/>
              </w:rPr>
              <w:t>es</w:t>
            </w:r>
            <w:r w:rsidRPr="000336E5">
              <w:rPr>
                <w:rFonts w:ascii="Arial" w:hAnsi="Arial" w:cs="Arial"/>
                <w:sz w:val="22"/>
                <w:szCs w:val="22"/>
              </w:rPr>
              <w:t xml:space="preserve"> are to: </w:t>
            </w:r>
          </w:p>
          <w:p w:rsidR="000336E5" w:rsidRPr="000336E5" w:rsidRDefault="000336E5" w:rsidP="000336E5">
            <w:pPr>
              <w:pStyle w:val="Default"/>
              <w:rPr>
                <w:rFonts w:ascii="Arial" w:hAnsi="Arial" w:cs="Arial"/>
                <w:sz w:val="22"/>
                <w:szCs w:val="22"/>
              </w:rPr>
            </w:pPr>
          </w:p>
          <w:p w:rsidR="000336E5" w:rsidRPr="000336E5" w:rsidRDefault="000336E5" w:rsidP="000336E5">
            <w:pPr>
              <w:pStyle w:val="Default"/>
              <w:numPr>
                <w:ilvl w:val="0"/>
                <w:numId w:val="19"/>
              </w:numPr>
              <w:rPr>
                <w:rFonts w:ascii="Arial" w:hAnsi="Arial" w:cs="Arial"/>
                <w:sz w:val="22"/>
                <w:szCs w:val="22"/>
              </w:rPr>
            </w:pPr>
            <w:r w:rsidRPr="000336E5">
              <w:rPr>
                <w:rFonts w:ascii="Arial" w:hAnsi="Arial" w:cs="Arial"/>
                <w:sz w:val="22"/>
                <w:szCs w:val="22"/>
              </w:rPr>
              <w:t>Verify that standards are appropriate for the award;</w:t>
            </w:r>
          </w:p>
          <w:p w:rsidR="000336E5" w:rsidRPr="000336E5" w:rsidRDefault="000336E5" w:rsidP="000336E5">
            <w:pPr>
              <w:pStyle w:val="Default"/>
              <w:numPr>
                <w:ilvl w:val="0"/>
                <w:numId w:val="19"/>
              </w:numPr>
              <w:rPr>
                <w:rFonts w:ascii="Arial" w:hAnsi="Arial" w:cs="Arial"/>
                <w:sz w:val="22"/>
                <w:szCs w:val="22"/>
              </w:rPr>
            </w:pPr>
            <w:r w:rsidRPr="000336E5">
              <w:rPr>
                <w:rFonts w:ascii="Arial" w:hAnsi="Arial" w:cs="Arial"/>
                <w:sz w:val="22"/>
                <w:szCs w:val="22"/>
              </w:rPr>
              <w:t>Report on the standards of achievement and verify that academic standards are comparable to other institutions in the sector;</w:t>
            </w:r>
          </w:p>
          <w:p w:rsidR="000336E5" w:rsidRPr="000336E5" w:rsidRDefault="000336E5" w:rsidP="000336E5">
            <w:pPr>
              <w:pStyle w:val="Default"/>
              <w:numPr>
                <w:ilvl w:val="0"/>
                <w:numId w:val="19"/>
              </w:numPr>
              <w:rPr>
                <w:rFonts w:ascii="Arial" w:hAnsi="Arial" w:cs="Arial"/>
                <w:sz w:val="22"/>
                <w:szCs w:val="22"/>
              </w:rPr>
            </w:pPr>
            <w:r w:rsidRPr="000336E5">
              <w:rPr>
                <w:rFonts w:ascii="Arial" w:hAnsi="Arial" w:cs="Arial"/>
                <w:sz w:val="22"/>
                <w:szCs w:val="22"/>
              </w:rPr>
              <w:t xml:space="preserve">Ensure that fairness and equity are evident in the assessment process, marking, grading and classification of student performance, and that decisions are made in accordance with </w:t>
            </w:r>
            <w:r>
              <w:rPr>
                <w:rFonts w:ascii="Arial" w:hAnsi="Arial" w:cs="Arial"/>
                <w:sz w:val="22"/>
                <w:szCs w:val="22"/>
              </w:rPr>
              <w:t>the relevant Academic Regulations</w:t>
            </w:r>
            <w:r w:rsidRPr="000336E5">
              <w:rPr>
                <w:rFonts w:ascii="Arial" w:hAnsi="Arial" w:cs="Arial"/>
                <w:sz w:val="22"/>
                <w:szCs w:val="22"/>
              </w:rPr>
              <w:t>;</w:t>
            </w:r>
          </w:p>
          <w:p w:rsidR="000336E5" w:rsidRPr="000336E5" w:rsidRDefault="000336E5" w:rsidP="000336E5">
            <w:pPr>
              <w:pStyle w:val="Default"/>
              <w:numPr>
                <w:ilvl w:val="0"/>
                <w:numId w:val="19"/>
              </w:numPr>
              <w:rPr>
                <w:rFonts w:ascii="Arial" w:hAnsi="Arial" w:cs="Arial"/>
                <w:sz w:val="22"/>
                <w:szCs w:val="22"/>
              </w:rPr>
            </w:pPr>
            <w:r w:rsidRPr="000336E5">
              <w:rPr>
                <w:rFonts w:ascii="Arial" w:hAnsi="Arial" w:cs="Arial"/>
                <w:sz w:val="22"/>
                <w:szCs w:val="22"/>
              </w:rPr>
              <w:t>Provide externality of opinion and objective advice on the processes involved in learning, teaching and assessment;</w:t>
            </w:r>
          </w:p>
          <w:p w:rsidR="000336E5" w:rsidRPr="000336E5" w:rsidRDefault="000336E5" w:rsidP="000336E5">
            <w:pPr>
              <w:pStyle w:val="Default"/>
              <w:numPr>
                <w:ilvl w:val="0"/>
                <w:numId w:val="19"/>
              </w:numPr>
              <w:rPr>
                <w:rFonts w:ascii="Arial" w:hAnsi="Arial" w:cs="Arial"/>
                <w:sz w:val="22"/>
                <w:szCs w:val="22"/>
              </w:rPr>
            </w:pPr>
            <w:r w:rsidRPr="000336E5">
              <w:rPr>
                <w:rFonts w:ascii="Arial" w:hAnsi="Arial" w:cs="Arial"/>
                <w:sz w:val="22"/>
                <w:szCs w:val="22"/>
              </w:rPr>
              <w:t xml:space="preserve">Identify, where appropriate, examples of good practice and areas for enhancement </w:t>
            </w:r>
          </w:p>
          <w:p w:rsidR="00DD299B" w:rsidRDefault="000336E5" w:rsidP="00DD299B">
            <w:pPr>
              <w:pStyle w:val="BodyTextIndent2"/>
              <w:ind w:left="0"/>
            </w:pPr>
            <w:r>
              <w:t>(Please see Assessment and Moderation Handbook for full detail of the process for Leeds City College awards)</w:t>
            </w:r>
            <w:r w:rsidR="00B37669">
              <w:t>.</w:t>
            </w:r>
          </w:p>
          <w:p w:rsidR="00B37669" w:rsidRPr="00545CD8" w:rsidRDefault="00B37669" w:rsidP="00DD299B">
            <w:pPr>
              <w:pStyle w:val="BodyTextIndent2"/>
              <w:ind w:left="0"/>
            </w:pPr>
          </w:p>
        </w:tc>
        <w:tc>
          <w:tcPr>
            <w:tcW w:w="1705" w:type="dxa"/>
          </w:tcPr>
          <w:p w:rsidR="00DD299B" w:rsidRDefault="00DC4B21" w:rsidP="00DD299B">
            <w:pPr>
              <w:pStyle w:val="Header"/>
              <w:tabs>
                <w:tab w:val="clear" w:pos="4153"/>
                <w:tab w:val="clear" w:pos="8306"/>
                <w:tab w:val="left" w:pos="720"/>
              </w:tabs>
              <w:rPr>
                <w:rFonts w:cs="Arial"/>
              </w:rPr>
            </w:pPr>
            <w:r>
              <w:rPr>
                <w:rFonts w:cs="Arial"/>
              </w:rPr>
              <w:lastRenderedPageBreak/>
              <w:t>External Expertise</w:t>
            </w:r>
          </w:p>
          <w:p w:rsidR="00DC4B21" w:rsidRDefault="00DC4B21" w:rsidP="00DD299B">
            <w:pPr>
              <w:pStyle w:val="Header"/>
              <w:tabs>
                <w:tab w:val="clear" w:pos="4153"/>
                <w:tab w:val="clear" w:pos="8306"/>
                <w:tab w:val="left" w:pos="720"/>
              </w:tabs>
              <w:rPr>
                <w:rFonts w:cs="Arial"/>
              </w:rPr>
            </w:pPr>
            <w:r>
              <w:rPr>
                <w:rFonts w:cs="Arial"/>
              </w:rPr>
              <w:t>Core Practices 1, 2, 4</w:t>
            </w:r>
          </w:p>
          <w:p w:rsidR="00DC4B21" w:rsidRDefault="00DC4B21" w:rsidP="00DD299B">
            <w:pPr>
              <w:pStyle w:val="Header"/>
              <w:tabs>
                <w:tab w:val="clear" w:pos="4153"/>
                <w:tab w:val="clear" w:pos="8306"/>
                <w:tab w:val="left" w:pos="720"/>
              </w:tabs>
              <w:rPr>
                <w:rFonts w:cs="Arial"/>
              </w:rPr>
            </w:pPr>
          </w:p>
          <w:p w:rsidR="00DC4B21" w:rsidRDefault="00DC4B21" w:rsidP="00DD299B">
            <w:pPr>
              <w:pStyle w:val="Header"/>
              <w:tabs>
                <w:tab w:val="clear" w:pos="4153"/>
                <w:tab w:val="clear" w:pos="8306"/>
                <w:tab w:val="left" w:pos="720"/>
              </w:tabs>
              <w:rPr>
                <w:rFonts w:cs="Arial"/>
              </w:rPr>
            </w:pPr>
            <w:r>
              <w:rPr>
                <w:rFonts w:cs="Arial"/>
              </w:rPr>
              <w:t>Guiding Principles</w:t>
            </w:r>
          </w:p>
          <w:p w:rsidR="00DC4B21" w:rsidRPr="000336E5" w:rsidRDefault="00F55BB8" w:rsidP="00DD299B">
            <w:pPr>
              <w:pStyle w:val="Header"/>
              <w:tabs>
                <w:tab w:val="clear" w:pos="4153"/>
                <w:tab w:val="clear" w:pos="8306"/>
                <w:tab w:val="left" w:pos="720"/>
              </w:tabs>
              <w:rPr>
                <w:rFonts w:cs="Arial"/>
              </w:rPr>
            </w:pPr>
            <w:r>
              <w:rPr>
                <w:rFonts w:cs="Arial"/>
              </w:rPr>
              <w:t>2, 3, 4, 5, 6</w:t>
            </w:r>
          </w:p>
        </w:tc>
      </w:tr>
      <w:tr w:rsidR="008C1B3D" w:rsidRPr="00545CD8" w:rsidTr="000F6428">
        <w:tc>
          <w:tcPr>
            <w:tcW w:w="1881" w:type="dxa"/>
          </w:tcPr>
          <w:p w:rsidR="008C1B3D" w:rsidRPr="00545CD8" w:rsidRDefault="008C1B3D">
            <w:pPr>
              <w:pStyle w:val="BodyText2"/>
            </w:pPr>
            <w:r w:rsidRPr="00545CD8">
              <w:t>Staff development and training</w:t>
            </w:r>
          </w:p>
          <w:p w:rsidR="008C1B3D" w:rsidRPr="00545CD8" w:rsidRDefault="008C1B3D">
            <w:pPr>
              <w:pStyle w:val="BodyTextIndent2"/>
              <w:ind w:left="0"/>
              <w:rPr>
                <w:b/>
                <w:bCs/>
              </w:rPr>
            </w:pPr>
          </w:p>
        </w:tc>
        <w:tc>
          <w:tcPr>
            <w:tcW w:w="5954" w:type="dxa"/>
          </w:tcPr>
          <w:p w:rsidR="008C1B3D" w:rsidRPr="00545CD8" w:rsidRDefault="008C1B3D">
            <w:pPr>
              <w:pStyle w:val="BodyTextIndent2"/>
              <w:ind w:left="0"/>
            </w:pPr>
            <w:r w:rsidRPr="00545CD8">
              <w:t>The College requires that all staff involved in the assessment of students are competent to undertake their roles and responsibilities. Assessors will be appropriately qualified</w:t>
            </w:r>
            <w:r w:rsidR="006E4EEB">
              <w:t xml:space="preserve">, </w:t>
            </w:r>
            <w:r w:rsidR="006E4EEB" w:rsidRPr="00351F28">
              <w:t>trained</w:t>
            </w:r>
            <w:r w:rsidRPr="00351F28">
              <w:t xml:space="preserve"> and meet the requirements of the awar</w:t>
            </w:r>
            <w:r w:rsidR="006E4EEB" w:rsidRPr="00351F28">
              <w:t>ding body and</w:t>
            </w:r>
            <w:r w:rsidRPr="00351F28">
              <w:t xml:space="preserve"> the Quality Assurance </w:t>
            </w:r>
            <w:r w:rsidR="006E4EEB" w:rsidRPr="00351F28">
              <w:t>Quality</w:t>
            </w:r>
            <w:r w:rsidRPr="00351F28">
              <w:t xml:space="preserve"> Code.</w:t>
            </w:r>
          </w:p>
          <w:p w:rsidR="00AD5630" w:rsidRPr="00545CD8" w:rsidRDefault="00AD5630">
            <w:pPr>
              <w:pStyle w:val="BodyTextIndent2"/>
              <w:ind w:left="0"/>
            </w:pPr>
            <w:r w:rsidRPr="00545CD8">
              <w:t xml:space="preserve">The College will seek to ensure that, where applicable, other educational providers, work place and placement learning partners have effective measures in place to monitor and assure the proficiency of their staff involved in the support of learners. </w:t>
            </w:r>
          </w:p>
          <w:p w:rsidR="008C1B3D" w:rsidRPr="00545CD8" w:rsidRDefault="008C1B3D">
            <w:pPr>
              <w:pStyle w:val="BodyTextIndent2"/>
              <w:ind w:left="0"/>
            </w:pPr>
          </w:p>
        </w:tc>
        <w:tc>
          <w:tcPr>
            <w:tcW w:w="1705" w:type="dxa"/>
          </w:tcPr>
          <w:p w:rsidR="008C1B3D" w:rsidRDefault="008C1B3D" w:rsidP="006E4EEB">
            <w:pPr>
              <w:pStyle w:val="Header"/>
              <w:tabs>
                <w:tab w:val="clear" w:pos="4153"/>
                <w:tab w:val="clear" w:pos="8306"/>
                <w:tab w:val="left" w:pos="720"/>
              </w:tabs>
              <w:rPr>
                <w:rFonts w:cs="Arial"/>
              </w:rPr>
            </w:pPr>
          </w:p>
          <w:p w:rsidR="00F55BB8" w:rsidRPr="00545CD8" w:rsidRDefault="00F55BB8" w:rsidP="006E4EEB">
            <w:pPr>
              <w:pStyle w:val="Header"/>
              <w:tabs>
                <w:tab w:val="clear" w:pos="4153"/>
                <w:tab w:val="clear" w:pos="8306"/>
                <w:tab w:val="left" w:pos="720"/>
              </w:tabs>
              <w:rPr>
                <w:rFonts w:cs="Arial"/>
              </w:rPr>
            </w:pPr>
          </w:p>
        </w:tc>
      </w:tr>
      <w:tr w:rsidR="008C1B3D" w:rsidRPr="00545CD8" w:rsidTr="000F6428">
        <w:tc>
          <w:tcPr>
            <w:tcW w:w="1881" w:type="dxa"/>
          </w:tcPr>
          <w:p w:rsidR="008C1B3D" w:rsidRPr="00545CD8" w:rsidRDefault="008C1B3D">
            <w:pPr>
              <w:pStyle w:val="SubHeading"/>
              <w:numPr>
                <w:ilvl w:val="0"/>
                <w:numId w:val="0"/>
              </w:numPr>
              <w:spacing w:before="0" w:after="0"/>
              <w:rPr>
                <w:rFonts w:ascii="Arial" w:hAnsi="Arial" w:cs="Arial"/>
                <w:sz w:val="22"/>
                <w:szCs w:val="22"/>
              </w:rPr>
            </w:pPr>
            <w:r w:rsidRPr="00545CD8">
              <w:rPr>
                <w:rFonts w:ascii="Arial" w:hAnsi="Arial" w:cs="Arial"/>
                <w:sz w:val="22"/>
                <w:szCs w:val="22"/>
              </w:rPr>
              <w:t>Equality and Diversity Statement</w:t>
            </w:r>
          </w:p>
          <w:p w:rsidR="008C1B3D" w:rsidRPr="00545CD8" w:rsidRDefault="008C1B3D">
            <w:pPr>
              <w:pStyle w:val="BodyText2"/>
            </w:pPr>
          </w:p>
        </w:tc>
        <w:tc>
          <w:tcPr>
            <w:tcW w:w="5954" w:type="dxa"/>
          </w:tcPr>
          <w:p w:rsidR="008C1B3D" w:rsidRPr="00545CD8" w:rsidRDefault="008C1B3D">
            <w:pPr>
              <w:pStyle w:val="BodyTextIndent2"/>
              <w:ind w:left="0"/>
            </w:pPr>
            <w:r w:rsidRPr="00545CD8">
              <w:t>This policy will be implemented in accordance with the College’s Policy on Valuing Diversity and with consideration of assessment guidelines set out by awarding bodie</w:t>
            </w:r>
            <w:r w:rsidR="006B4F32" w:rsidRPr="00545CD8">
              <w:t xml:space="preserve">s and where appropriate, the </w:t>
            </w:r>
            <w:r w:rsidR="00247A06">
              <w:t>Quality Code</w:t>
            </w:r>
            <w:r w:rsidRPr="00545CD8">
              <w:t>.</w:t>
            </w:r>
          </w:p>
          <w:p w:rsidR="008C1B3D" w:rsidRPr="00545CD8" w:rsidRDefault="008C1B3D">
            <w:pPr>
              <w:pStyle w:val="BodyTextIndent2"/>
              <w:ind w:left="0"/>
            </w:pPr>
            <w:r w:rsidRPr="00545CD8">
              <w:t>The College is committed to:</w:t>
            </w:r>
          </w:p>
          <w:p w:rsidR="008C1B3D" w:rsidRPr="00545CD8" w:rsidRDefault="008C1B3D" w:rsidP="005127E4">
            <w:pPr>
              <w:numPr>
                <w:ilvl w:val="0"/>
                <w:numId w:val="5"/>
              </w:numPr>
              <w:rPr>
                <w:rFonts w:cs="Arial"/>
              </w:rPr>
            </w:pPr>
            <w:r w:rsidRPr="00545CD8">
              <w:rPr>
                <w:rFonts w:cs="Arial"/>
              </w:rPr>
              <w:lastRenderedPageBreak/>
              <w:t>Ensuring appropriate consideration for specialist examination and assessment facilities for students with disabilities  </w:t>
            </w:r>
          </w:p>
          <w:p w:rsidR="008C1B3D" w:rsidRPr="00545CD8" w:rsidRDefault="008C1B3D" w:rsidP="005127E4">
            <w:pPr>
              <w:numPr>
                <w:ilvl w:val="0"/>
                <w:numId w:val="5"/>
              </w:numPr>
              <w:rPr>
                <w:rFonts w:cs="Arial"/>
              </w:rPr>
            </w:pPr>
            <w:r w:rsidRPr="00545CD8">
              <w:rPr>
                <w:rFonts w:cs="Arial"/>
              </w:rPr>
              <w:t xml:space="preserve">Providing clear and timely information for students on examination regulations in relation to candidates with disabilities and candidates who require special consideration </w:t>
            </w:r>
          </w:p>
          <w:p w:rsidR="008C1B3D" w:rsidRPr="00545CD8" w:rsidRDefault="008C1B3D" w:rsidP="005127E4">
            <w:pPr>
              <w:numPr>
                <w:ilvl w:val="0"/>
                <w:numId w:val="5"/>
              </w:numPr>
              <w:rPr>
                <w:rFonts w:cs="Arial"/>
              </w:rPr>
            </w:pPr>
            <w:r w:rsidRPr="00545CD8">
              <w:rPr>
                <w:rFonts w:cs="Arial"/>
              </w:rPr>
              <w:t>Ensuring assessments are set that provide equal opportunity for all candidates to demonstrate their achievement of the required learning outcomes</w:t>
            </w:r>
          </w:p>
          <w:p w:rsidR="008C1B3D" w:rsidRPr="00545CD8" w:rsidRDefault="008C1B3D">
            <w:pPr>
              <w:pStyle w:val="BodyTextIndent2"/>
              <w:ind w:left="0"/>
            </w:pPr>
            <w:r w:rsidRPr="00545CD8">
              <w:t xml:space="preserve">Where the Academic Appeals Procedure applies to any learner with </w:t>
            </w:r>
            <w:r w:rsidR="00E74195" w:rsidRPr="00545CD8">
              <w:t>a disability</w:t>
            </w:r>
            <w:r w:rsidRPr="00545CD8">
              <w:t xml:space="preserve"> the College will make particular reference to any reasonable adjustment that has been made or should be made for that individual.</w:t>
            </w:r>
          </w:p>
          <w:p w:rsidR="008C1B3D" w:rsidRPr="00545CD8" w:rsidRDefault="008C1B3D">
            <w:pPr>
              <w:pStyle w:val="BodyTextIndent2"/>
              <w:ind w:left="0"/>
            </w:pPr>
            <w:r w:rsidRPr="00545CD8">
              <w:t>Academic appeals will also be monitored in relation to race, gender and disability.</w:t>
            </w:r>
          </w:p>
          <w:p w:rsidR="008C1B3D" w:rsidRPr="00545CD8" w:rsidRDefault="008C1B3D">
            <w:pPr>
              <w:pStyle w:val="BodyTextIndent2"/>
              <w:ind w:left="0"/>
            </w:pPr>
          </w:p>
        </w:tc>
        <w:tc>
          <w:tcPr>
            <w:tcW w:w="1705" w:type="dxa"/>
          </w:tcPr>
          <w:p w:rsidR="00F55BB8" w:rsidRDefault="00F55BB8" w:rsidP="00F55BB8">
            <w:pPr>
              <w:pStyle w:val="Header"/>
              <w:tabs>
                <w:tab w:val="clear" w:pos="4153"/>
                <w:tab w:val="clear" w:pos="8306"/>
                <w:tab w:val="left" w:pos="720"/>
              </w:tabs>
              <w:rPr>
                <w:rFonts w:cs="Arial"/>
              </w:rPr>
            </w:pPr>
            <w:r>
              <w:rPr>
                <w:rFonts w:cs="Arial"/>
              </w:rPr>
              <w:lastRenderedPageBreak/>
              <w:t>Assessment:</w:t>
            </w:r>
          </w:p>
          <w:p w:rsidR="00F55BB8" w:rsidRDefault="00F55BB8" w:rsidP="00F55BB8">
            <w:pPr>
              <w:pStyle w:val="Header"/>
              <w:tabs>
                <w:tab w:val="clear" w:pos="4153"/>
                <w:tab w:val="clear" w:pos="8306"/>
                <w:tab w:val="left" w:pos="720"/>
              </w:tabs>
              <w:rPr>
                <w:rFonts w:cs="Arial"/>
              </w:rPr>
            </w:pPr>
            <w:r>
              <w:rPr>
                <w:rFonts w:cs="Arial"/>
              </w:rPr>
              <w:t>Core Practices 1, 2</w:t>
            </w:r>
          </w:p>
          <w:p w:rsidR="00F55BB8" w:rsidRDefault="00F55BB8" w:rsidP="00F55BB8">
            <w:pPr>
              <w:pStyle w:val="Header"/>
              <w:tabs>
                <w:tab w:val="clear" w:pos="4153"/>
                <w:tab w:val="clear" w:pos="8306"/>
                <w:tab w:val="left" w:pos="720"/>
              </w:tabs>
              <w:rPr>
                <w:rFonts w:cs="Arial"/>
              </w:rPr>
            </w:pPr>
            <w:r>
              <w:rPr>
                <w:rFonts w:cs="Arial"/>
              </w:rPr>
              <w:t>Guiding Principles</w:t>
            </w:r>
          </w:p>
          <w:p w:rsidR="008C1B3D" w:rsidRPr="00545CD8" w:rsidRDefault="00F55BB8" w:rsidP="00F55BB8">
            <w:pPr>
              <w:pStyle w:val="Header"/>
              <w:tabs>
                <w:tab w:val="clear" w:pos="4153"/>
                <w:tab w:val="clear" w:pos="8306"/>
                <w:tab w:val="left" w:pos="720"/>
              </w:tabs>
              <w:rPr>
                <w:rFonts w:cs="Arial"/>
              </w:rPr>
            </w:pPr>
            <w:r>
              <w:rPr>
                <w:rFonts w:cs="Arial"/>
              </w:rPr>
              <w:lastRenderedPageBreak/>
              <w:t>2, 4, 9</w:t>
            </w:r>
          </w:p>
        </w:tc>
      </w:tr>
      <w:tr w:rsidR="000E639A" w:rsidRPr="00545CD8" w:rsidTr="000F6428">
        <w:tc>
          <w:tcPr>
            <w:tcW w:w="1881" w:type="dxa"/>
          </w:tcPr>
          <w:p w:rsidR="000E639A" w:rsidRPr="00545CD8" w:rsidRDefault="000E639A" w:rsidP="00552C01">
            <w:pPr>
              <w:pStyle w:val="BodyTextIndent2"/>
              <w:ind w:left="0"/>
            </w:pPr>
            <w:r w:rsidRPr="00545CD8">
              <w:rPr>
                <w:b/>
                <w:bCs/>
              </w:rPr>
              <w:lastRenderedPageBreak/>
              <w:t>Regulatory requirement</w:t>
            </w:r>
            <w:r w:rsidR="00552C01">
              <w:rPr>
                <w:b/>
                <w:bCs/>
              </w:rPr>
              <w:t>s</w:t>
            </w:r>
            <w:r w:rsidRPr="00545CD8">
              <w:rPr>
                <w:b/>
                <w:bCs/>
              </w:rPr>
              <w:t xml:space="preserve"> of awarding and professional bodies</w:t>
            </w:r>
          </w:p>
        </w:tc>
        <w:tc>
          <w:tcPr>
            <w:tcW w:w="5954" w:type="dxa"/>
          </w:tcPr>
          <w:p w:rsidR="000E639A" w:rsidRPr="00545CD8" w:rsidRDefault="000E639A" w:rsidP="004A0798">
            <w:pPr>
              <w:pStyle w:val="BodyTextIndent2"/>
              <w:ind w:left="0"/>
            </w:pPr>
            <w:r w:rsidRPr="00545CD8">
              <w:t>The College requires that all staff are aware of and operate under the specific regulatory requirements of its awarding bodies and, where appropriate, professional bodies. The College has developed appropriate internal policies and procedures that cover major requirements.</w:t>
            </w:r>
          </w:p>
          <w:p w:rsidR="000E639A" w:rsidRPr="00545CD8" w:rsidRDefault="000E639A" w:rsidP="004A0798">
            <w:pPr>
              <w:pStyle w:val="BodyTextIndent2"/>
              <w:ind w:left="0"/>
            </w:pPr>
          </w:p>
        </w:tc>
        <w:tc>
          <w:tcPr>
            <w:tcW w:w="1705" w:type="dxa"/>
          </w:tcPr>
          <w:p w:rsidR="000E639A" w:rsidRPr="00545CD8" w:rsidRDefault="000E639A" w:rsidP="006E4EEB">
            <w:pPr>
              <w:pStyle w:val="BodyTextIndent"/>
              <w:tabs>
                <w:tab w:val="left" w:pos="720"/>
              </w:tabs>
              <w:ind w:left="0"/>
              <w:jc w:val="both"/>
              <w:rPr>
                <w:rFonts w:cs="Arial"/>
              </w:rPr>
            </w:pPr>
          </w:p>
        </w:tc>
      </w:tr>
      <w:tr w:rsidR="002A14AD" w:rsidRPr="005661EC" w:rsidTr="000F6428">
        <w:tc>
          <w:tcPr>
            <w:tcW w:w="1881" w:type="dxa"/>
            <w:tcBorders>
              <w:top w:val="single" w:sz="6" w:space="0" w:color="000000"/>
              <w:left w:val="single" w:sz="6" w:space="0" w:color="000000"/>
              <w:bottom w:val="single" w:sz="6" w:space="0" w:color="000000"/>
              <w:right w:val="single" w:sz="6" w:space="0" w:color="000000"/>
            </w:tcBorders>
          </w:tcPr>
          <w:p w:rsidR="002A14AD" w:rsidRPr="002A14AD" w:rsidRDefault="002A14AD" w:rsidP="00DE28A7">
            <w:pPr>
              <w:pStyle w:val="BodyTextIndent2"/>
              <w:ind w:left="0"/>
              <w:rPr>
                <w:b/>
                <w:bCs/>
              </w:rPr>
            </w:pPr>
            <w:r w:rsidRPr="002A14AD">
              <w:rPr>
                <w:b/>
                <w:bCs/>
              </w:rPr>
              <w:t>Monitoring and Review</w:t>
            </w:r>
          </w:p>
        </w:tc>
        <w:tc>
          <w:tcPr>
            <w:tcW w:w="5954" w:type="dxa"/>
            <w:tcBorders>
              <w:top w:val="single" w:sz="6" w:space="0" w:color="000000"/>
              <w:left w:val="single" w:sz="6" w:space="0" w:color="000000"/>
              <w:bottom w:val="single" w:sz="6" w:space="0" w:color="000000"/>
              <w:right w:val="single" w:sz="6" w:space="0" w:color="000000"/>
            </w:tcBorders>
          </w:tcPr>
          <w:p w:rsidR="002A14AD" w:rsidRPr="002A14AD" w:rsidRDefault="002A14AD" w:rsidP="00DE28A7">
            <w:pPr>
              <w:pStyle w:val="BodyTextIndent2"/>
              <w:ind w:left="0"/>
            </w:pPr>
            <w:r w:rsidRPr="002A14AD">
              <w:t>The College will regularly monitor and review this policy and its associated procedures to assess the effectiveness of its implementation and outcomes</w:t>
            </w:r>
            <w:r>
              <w:t>.</w:t>
            </w:r>
          </w:p>
          <w:p w:rsidR="002A14AD" w:rsidRPr="002A14AD" w:rsidRDefault="002A14AD" w:rsidP="00DE28A7">
            <w:pPr>
              <w:pStyle w:val="BodyTextIndent2"/>
              <w:ind w:left="0"/>
            </w:pPr>
          </w:p>
        </w:tc>
        <w:tc>
          <w:tcPr>
            <w:tcW w:w="1705" w:type="dxa"/>
            <w:tcBorders>
              <w:top w:val="single" w:sz="6" w:space="0" w:color="000000"/>
              <w:left w:val="single" w:sz="6" w:space="0" w:color="000000"/>
              <w:bottom w:val="single" w:sz="6" w:space="0" w:color="000000"/>
              <w:right w:val="single" w:sz="6" w:space="0" w:color="000000"/>
            </w:tcBorders>
          </w:tcPr>
          <w:p w:rsidR="002A14AD" w:rsidRDefault="00F55BB8" w:rsidP="00F55BB8">
            <w:pPr>
              <w:pStyle w:val="BodyTextIndent"/>
              <w:tabs>
                <w:tab w:val="left" w:pos="720"/>
              </w:tabs>
              <w:ind w:left="0"/>
              <w:jc w:val="both"/>
              <w:rPr>
                <w:rFonts w:cs="Arial"/>
              </w:rPr>
            </w:pPr>
            <w:r>
              <w:rPr>
                <w:rFonts w:cs="Arial"/>
              </w:rPr>
              <w:t>Expectations for Standards and Quality</w:t>
            </w:r>
          </w:p>
          <w:p w:rsidR="00F55BB8" w:rsidRPr="002A14AD" w:rsidRDefault="00F55BB8" w:rsidP="00F55BB8">
            <w:pPr>
              <w:pStyle w:val="BodyTextIndent"/>
              <w:tabs>
                <w:tab w:val="left" w:pos="720"/>
              </w:tabs>
              <w:ind w:left="0"/>
              <w:jc w:val="both"/>
              <w:rPr>
                <w:rFonts w:cs="Arial"/>
              </w:rPr>
            </w:pPr>
            <w:r>
              <w:rPr>
                <w:rFonts w:cs="Arial"/>
              </w:rPr>
              <w:t>Common Practices 1</w:t>
            </w:r>
          </w:p>
        </w:tc>
      </w:tr>
      <w:tr w:rsidR="00067AA8" w:rsidTr="000F6428">
        <w:tc>
          <w:tcPr>
            <w:tcW w:w="1881" w:type="dxa"/>
            <w:tcBorders>
              <w:top w:val="single" w:sz="6" w:space="0" w:color="000000"/>
              <w:left w:val="single" w:sz="6" w:space="0" w:color="000000"/>
              <w:bottom w:val="single" w:sz="6" w:space="0" w:color="000000"/>
              <w:right w:val="single" w:sz="6" w:space="0" w:color="000000"/>
            </w:tcBorders>
          </w:tcPr>
          <w:p w:rsidR="00067AA8" w:rsidRPr="00067AA8" w:rsidRDefault="00067AA8">
            <w:pPr>
              <w:pStyle w:val="BodyTextIndent2"/>
              <w:ind w:left="0"/>
              <w:rPr>
                <w:b/>
                <w:bCs/>
              </w:rPr>
            </w:pPr>
            <w:r w:rsidRPr="00067AA8">
              <w:rPr>
                <w:b/>
                <w:bCs/>
              </w:rPr>
              <w:t>Appeals</w:t>
            </w:r>
          </w:p>
        </w:tc>
        <w:tc>
          <w:tcPr>
            <w:tcW w:w="5954" w:type="dxa"/>
            <w:tcBorders>
              <w:top w:val="single" w:sz="6" w:space="0" w:color="000000"/>
              <w:left w:val="single" w:sz="6" w:space="0" w:color="000000"/>
              <w:bottom w:val="single" w:sz="6" w:space="0" w:color="000000"/>
              <w:right w:val="single" w:sz="6" w:space="0" w:color="000000"/>
            </w:tcBorders>
          </w:tcPr>
          <w:p w:rsidR="00067AA8" w:rsidRPr="00067AA8" w:rsidRDefault="00067AA8" w:rsidP="00067AA8">
            <w:pPr>
              <w:pStyle w:val="BodyTextIndent2"/>
              <w:ind w:left="0"/>
            </w:pPr>
            <w:r w:rsidRPr="00067AA8">
              <w:t xml:space="preserve">Appeals against </w:t>
            </w:r>
            <w:r>
              <w:t>academic</w:t>
            </w:r>
            <w:r w:rsidRPr="00067AA8">
              <w:t xml:space="preserve"> decision</w:t>
            </w:r>
            <w:r>
              <w:t>s</w:t>
            </w:r>
            <w:r w:rsidRPr="00067AA8">
              <w:t xml:space="preserve"> should made in accordance with the Academic Appeals procedure.</w:t>
            </w:r>
          </w:p>
        </w:tc>
        <w:tc>
          <w:tcPr>
            <w:tcW w:w="1705" w:type="dxa"/>
            <w:tcBorders>
              <w:top w:val="single" w:sz="6" w:space="0" w:color="000000"/>
              <w:left w:val="single" w:sz="6" w:space="0" w:color="000000"/>
              <w:bottom w:val="single" w:sz="6" w:space="0" w:color="000000"/>
              <w:right w:val="single" w:sz="6" w:space="0" w:color="000000"/>
            </w:tcBorders>
          </w:tcPr>
          <w:p w:rsidR="00067AA8" w:rsidRPr="00067AA8" w:rsidRDefault="00067AA8" w:rsidP="00067AA8">
            <w:pPr>
              <w:pStyle w:val="BodyTextIndent"/>
              <w:tabs>
                <w:tab w:val="left" w:pos="720"/>
              </w:tabs>
              <w:jc w:val="both"/>
              <w:rPr>
                <w:rFonts w:cs="Arial"/>
              </w:rPr>
            </w:pPr>
          </w:p>
        </w:tc>
      </w:tr>
      <w:tr w:rsidR="000F6428" w:rsidTr="000F6428">
        <w:tc>
          <w:tcPr>
            <w:tcW w:w="1881" w:type="dxa"/>
            <w:tcBorders>
              <w:top w:val="single" w:sz="6" w:space="0" w:color="000000"/>
              <w:left w:val="single" w:sz="6" w:space="0" w:color="000000"/>
              <w:bottom w:val="single" w:sz="6" w:space="0" w:color="000000"/>
              <w:right w:val="single" w:sz="6" w:space="0" w:color="000000"/>
            </w:tcBorders>
          </w:tcPr>
          <w:p w:rsidR="000F6428" w:rsidRPr="000F6428" w:rsidRDefault="000F6428" w:rsidP="000F6428">
            <w:pPr>
              <w:pStyle w:val="BodyTextIndent2"/>
              <w:ind w:left="0"/>
              <w:rPr>
                <w:b/>
                <w:bCs/>
              </w:rPr>
            </w:pPr>
            <w:r>
              <w:rPr>
                <w:b/>
                <w:bCs/>
              </w:rPr>
              <w:t>Associated Documentation</w:t>
            </w:r>
          </w:p>
        </w:tc>
        <w:tc>
          <w:tcPr>
            <w:tcW w:w="5954" w:type="dxa"/>
            <w:tcBorders>
              <w:top w:val="single" w:sz="6" w:space="0" w:color="000000"/>
              <w:left w:val="single" w:sz="6" w:space="0" w:color="000000"/>
              <w:bottom w:val="single" w:sz="6" w:space="0" w:color="000000"/>
              <w:right w:val="single" w:sz="6" w:space="0" w:color="000000"/>
            </w:tcBorders>
          </w:tcPr>
          <w:p w:rsidR="000F6428" w:rsidRDefault="000F6428" w:rsidP="000F6428">
            <w:pPr>
              <w:pStyle w:val="BodyTextIndent2"/>
              <w:numPr>
                <w:ilvl w:val="0"/>
                <w:numId w:val="22"/>
              </w:numPr>
            </w:pPr>
            <w:r>
              <w:t>Assessment and Moderation Handbook</w:t>
            </w:r>
          </w:p>
          <w:p w:rsidR="000F6428" w:rsidRDefault="000F6428" w:rsidP="000F6428">
            <w:pPr>
              <w:pStyle w:val="BodyTextIndent2"/>
              <w:numPr>
                <w:ilvl w:val="0"/>
                <w:numId w:val="22"/>
              </w:numPr>
            </w:pPr>
            <w:r>
              <w:t>Relevant Academic Regulations</w:t>
            </w:r>
          </w:p>
          <w:p w:rsidR="000F6428" w:rsidRDefault="000F6428" w:rsidP="000F6428">
            <w:pPr>
              <w:pStyle w:val="BodyTextIndent2"/>
              <w:numPr>
                <w:ilvl w:val="0"/>
                <w:numId w:val="22"/>
              </w:numPr>
            </w:pPr>
            <w:r>
              <w:t>A Guide to Quality Assurance</w:t>
            </w:r>
          </w:p>
          <w:p w:rsidR="000F6428" w:rsidRDefault="000F6428" w:rsidP="000F6428">
            <w:pPr>
              <w:pStyle w:val="BodyTextIndent2"/>
              <w:numPr>
                <w:ilvl w:val="0"/>
                <w:numId w:val="22"/>
              </w:numPr>
            </w:pPr>
            <w:r>
              <w:t>Academic Appeals Policy (LCC validated FDs)</w:t>
            </w:r>
          </w:p>
          <w:p w:rsidR="000F6428" w:rsidRDefault="000F6428" w:rsidP="000F6428">
            <w:pPr>
              <w:pStyle w:val="BodyTextIndent2"/>
              <w:numPr>
                <w:ilvl w:val="0"/>
                <w:numId w:val="22"/>
              </w:numPr>
            </w:pPr>
            <w:r>
              <w:t>Academic Appeals Process (LCC validated FDs)</w:t>
            </w:r>
          </w:p>
          <w:p w:rsidR="000F6428" w:rsidRDefault="000F6428" w:rsidP="000F6428">
            <w:pPr>
              <w:pStyle w:val="BodyTextIndent2"/>
              <w:numPr>
                <w:ilvl w:val="0"/>
                <w:numId w:val="22"/>
              </w:numPr>
            </w:pPr>
            <w:r>
              <w:t>Student Guide to Appeals and Complaints</w:t>
            </w:r>
          </w:p>
          <w:p w:rsidR="000F6428" w:rsidRPr="000F6428" w:rsidRDefault="000F6428" w:rsidP="000F6428">
            <w:pPr>
              <w:pStyle w:val="BodyTextIndent2"/>
              <w:numPr>
                <w:ilvl w:val="0"/>
                <w:numId w:val="22"/>
              </w:numPr>
            </w:pPr>
            <w:r>
              <w:t>Academic Appeals Policy and Process (relevant awarding body)</w:t>
            </w:r>
          </w:p>
        </w:tc>
        <w:tc>
          <w:tcPr>
            <w:tcW w:w="1705" w:type="dxa"/>
            <w:tcBorders>
              <w:top w:val="single" w:sz="6" w:space="0" w:color="000000"/>
              <w:left w:val="single" w:sz="6" w:space="0" w:color="000000"/>
              <w:bottom w:val="single" w:sz="6" w:space="0" w:color="000000"/>
              <w:right w:val="single" w:sz="6" w:space="0" w:color="000000"/>
            </w:tcBorders>
          </w:tcPr>
          <w:p w:rsidR="000F6428" w:rsidRPr="000F6428" w:rsidRDefault="000F6428" w:rsidP="00F55BB8">
            <w:pPr>
              <w:pStyle w:val="BodyTextIndent"/>
              <w:tabs>
                <w:tab w:val="left" w:pos="720"/>
              </w:tabs>
              <w:ind w:left="0"/>
              <w:jc w:val="both"/>
              <w:rPr>
                <w:rFonts w:cs="Arial"/>
              </w:rPr>
            </w:pPr>
          </w:p>
        </w:tc>
      </w:tr>
    </w:tbl>
    <w:p w:rsidR="0012311E" w:rsidRPr="00545CD8" w:rsidRDefault="0012311E" w:rsidP="006E4EEB">
      <w:pPr>
        <w:spacing w:before="0" w:after="0"/>
        <w:rPr>
          <w:rFonts w:cs="Arial"/>
          <w:sz w:val="20"/>
          <w:szCs w:val="20"/>
        </w:rPr>
        <w:sectPr w:rsidR="0012311E" w:rsidRPr="00545CD8">
          <w:pgSz w:w="11906" w:h="16838" w:code="9"/>
          <w:pgMar w:top="1438" w:right="1287" w:bottom="720" w:left="1622" w:header="709" w:footer="709" w:gutter="0"/>
          <w:cols w:space="708"/>
          <w:docGrid w:linePitch="360"/>
        </w:sectPr>
      </w:pPr>
    </w:p>
    <w:p w:rsidR="00460492" w:rsidRPr="00E1647F" w:rsidRDefault="00460492" w:rsidP="000F6428"/>
    <w:sectPr w:rsidR="00460492" w:rsidRPr="00E1647F" w:rsidSect="0012311E">
      <w:pgSz w:w="11906" w:h="16838" w:code="9"/>
      <w:pgMar w:top="851" w:right="1287" w:bottom="720" w:left="162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B21" w:rsidRDefault="00DC4B21">
      <w:r>
        <w:separator/>
      </w:r>
    </w:p>
  </w:endnote>
  <w:endnote w:type="continuationSeparator" w:id="0">
    <w:p w:rsidR="00DC4B21" w:rsidRDefault="00DC4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B21" w:rsidRDefault="00DC4B21">
    <w:pPr>
      <w:pStyle w:val="Footer"/>
      <w:rPr>
        <w:sz w:val="18"/>
      </w:rPr>
    </w:pPr>
    <w:r>
      <w:rPr>
        <w:sz w:val="16"/>
        <w:szCs w:val="16"/>
      </w:rPr>
      <w:t>Version 3 September 2019</w:t>
    </w:r>
    <w:r>
      <w:rPr>
        <w:sz w:val="18"/>
      </w:rPr>
      <w:tab/>
    </w:r>
    <w:r>
      <w:rPr>
        <w:rStyle w:val="PageNumber"/>
        <w:sz w:val="18"/>
      </w:rPr>
      <w:fldChar w:fldCharType="begin"/>
    </w:r>
    <w:r>
      <w:rPr>
        <w:rStyle w:val="PageNumber"/>
        <w:sz w:val="18"/>
      </w:rPr>
      <w:instrText xml:space="preserve"> PAGE </w:instrText>
    </w:r>
    <w:r>
      <w:rPr>
        <w:rStyle w:val="PageNumber"/>
        <w:sz w:val="18"/>
      </w:rPr>
      <w:fldChar w:fldCharType="separate"/>
    </w:r>
    <w:r w:rsidR="006F2F42">
      <w:rPr>
        <w:rStyle w:val="PageNumber"/>
        <w:noProof/>
        <w:sz w:val="18"/>
      </w:rPr>
      <w:t>1</w:t>
    </w:r>
    <w:r>
      <w:rPr>
        <w:rStyle w:val="PageNumber"/>
        <w:sz w:val="18"/>
      </w:rPr>
      <w:fldChar w:fldCharType="end"/>
    </w:r>
    <w:r>
      <w:rPr>
        <w:rStyle w:val="PageNumber"/>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B21" w:rsidRDefault="00DC4B21">
      <w:r>
        <w:separator/>
      </w:r>
    </w:p>
  </w:footnote>
  <w:footnote w:type="continuationSeparator" w:id="0">
    <w:p w:rsidR="00DC4B21" w:rsidRDefault="00DC4B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84F8B"/>
    <w:multiLevelType w:val="hybridMultilevel"/>
    <w:tmpl w:val="894A7B9E"/>
    <w:lvl w:ilvl="0" w:tplc="D2FCCF10">
      <w:start w:val="1"/>
      <w:numFmt w:val="bullet"/>
      <w:lvlText w:val=""/>
      <w:lvlJc w:val="left"/>
      <w:pPr>
        <w:tabs>
          <w:tab w:val="num" w:pos="543"/>
        </w:tabs>
        <w:ind w:left="543" w:hanging="471"/>
      </w:pPr>
      <w:rPr>
        <w:rFonts w:ascii="Wingdings" w:hAnsi="Wingdings" w:hint="default"/>
        <w:sz w:val="16"/>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 w15:restartNumberingAfterBreak="0">
    <w:nsid w:val="0B5C097E"/>
    <w:multiLevelType w:val="hybridMultilevel"/>
    <w:tmpl w:val="C40EF09E"/>
    <w:lvl w:ilvl="0" w:tplc="0409000F">
      <w:start w:val="1"/>
      <w:numFmt w:val="decimal"/>
      <w:pStyle w:val="SubHeading"/>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7B3294"/>
    <w:multiLevelType w:val="hybridMultilevel"/>
    <w:tmpl w:val="1F845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5F32CF"/>
    <w:multiLevelType w:val="hybridMultilevel"/>
    <w:tmpl w:val="D1DEB154"/>
    <w:lvl w:ilvl="0" w:tplc="FFFFFFFF">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1A457293"/>
    <w:multiLevelType w:val="hybridMultilevel"/>
    <w:tmpl w:val="5DD65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DF2BDC"/>
    <w:multiLevelType w:val="hybridMultilevel"/>
    <w:tmpl w:val="C42E9D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3971F4D"/>
    <w:multiLevelType w:val="hybridMultilevel"/>
    <w:tmpl w:val="F372F2C4"/>
    <w:lvl w:ilvl="0" w:tplc="D2FCCF10">
      <w:start w:val="1"/>
      <w:numFmt w:val="bullet"/>
      <w:lvlText w:val=""/>
      <w:lvlJc w:val="left"/>
      <w:pPr>
        <w:tabs>
          <w:tab w:val="num" w:pos="471"/>
        </w:tabs>
        <w:ind w:left="471" w:hanging="471"/>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2D1579"/>
    <w:multiLevelType w:val="hybridMultilevel"/>
    <w:tmpl w:val="14A44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4F67F7"/>
    <w:multiLevelType w:val="hybridMultilevel"/>
    <w:tmpl w:val="95009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C04AFB"/>
    <w:multiLevelType w:val="hybridMultilevel"/>
    <w:tmpl w:val="D5ACBCAC"/>
    <w:lvl w:ilvl="0" w:tplc="08090001">
      <w:start w:val="1"/>
      <w:numFmt w:val="bullet"/>
      <w:lvlText w:val=""/>
      <w:lvlJc w:val="left"/>
      <w:pPr>
        <w:ind w:left="1125" w:hanging="360"/>
      </w:pPr>
      <w:rPr>
        <w:rFonts w:ascii="Symbol" w:hAnsi="Symbol" w:hint="default"/>
      </w:rPr>
    </w:lvl>
    <w:lvl w:ilvl="1" w:tplc="08090003">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10" w15:restartNumberingAfterBreak="0">
    <w:nsid w:val="2FE64128"/>
    <w:multiLevelType w:val="hybridMultilevel"/>
    <w:tmpl w:val="A0927B24"/>
    <w:lvl w:ilvl="0" w:tplc="D2FCCF10">
      <w:start w:val="1"/>
      <w:numFmt w:val="bullet"/>
      <w:lvlText w:val=""/>
      <w:lvlJc w:val="left"/>
      <w:pPr>
        <w:tabs>
          <w:tab w:val="num" w:pos="471"/>
        </w:tabs>
        <w:ind w:left="471" w:hanging="471"/>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4953A9"/>
    <w:multiLevelType w:val="hybridMultilevel"/>
    <w:tmpl w:val="9314CC60"/>
    <w:lvl w:ilvl="0" w:tplc="D2FCCF10">
      <w:start w:val="1"/>
      <w:numFmt w:val="bullet"/>
      <w:lvlText w:val=""/>
      <w:lvlJc w:val="left"/>
      <w:pPr>
        <w:tabs>
          <w:tab w:val="num" w:pos="471"/>
        </w:tabs>
        <w:ind w:left="471" w:hanging="471"/>
      </w:pPr>
      <w:rPr>
        <w:rFonts w:ascii="Wingdings" w:hAnsi="Wingdings" w:hint="default"/>
        <w:sz w:val="16"/>
      </w:rPr>
    </w:lvl>
    <w:lvl w:ilvl="1" w:tplc="04090005">
      <w:start w:val="1"/>
      <w:numFmt w:val="bullet"/>
      <w:lvlText w:val=""/>
      <w:lvlJc w:val="left"/>
      <w:pPr>
        <w:tabs>
          <w:tab w:val="num" w:pos="1080"/>
        </w:tabs>
        <w:ind w:left="1080" w:hanging="360"/>
      </w:pPr>
      <w:rPr>
        <w:rFonts w:ascii="Wingdings" w:hAnsi="Wingdings" w:hint="default"/>
      </w:rPr>
    </w:lvl>
    <w:lvl w:ilvl="2" w:tplc="D9FC1B6E">
      <w:start w:val="2"/>
      <w:numFmt w:val="decimal"/>
      <w:lvlText w:val="%3."/>
      <w:lvlJc w:val="left"/>
      <w:pPr>
        <w:tabs>
          <w:tab w:val="num" w:pos="2340"/>
        </w:tabs>
        <w:ind w:left="2340" w:hanging="72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D553841"/>
    <w:multiLevelType w:val="hybridMultilevel"/>
    <w:tmpl w:val="2F9E05DC"/>
    <w:lvl w:ilvl="0" w:tplc="08090001">
      <w:start w:val="1"/>
      <w:numFmt w:val="bullet"/>
      <w:lvlText w:val=""/>
      <w:lvlJc w:val="left"/>
      <w:pPr>
        <w:ind w:left="1080" w:hanging="360"/>
      </w:pPr>
      <w:rPr>
        <w:rFonts w:ascii="Symbol" w:hAnsi="Symbol" w:hint="default"/>
      </w:rPr>
    </w:lvl>
    <w:lvl w:ilvl="1" w:tplc="F828A0F2">
      <w:numFmt w:val="bullet"/>
      <w:lvlText w:val="·"/>
      <w:lvlJc w:val="left"/>
      <w:pPr>
        <w:ind w:left="1800" w:hanging="360"/>
      </w:pPr>
      <w:rPr>
        <w:rFonts w:ascii="Arial" w:eastAsia="Times New Roman"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78044A9"/>
    <w:multiLevelType w:val="hybridMultilevel"/>
    <w:tmpl w:val="9894CB92"/>
    <w:lvl w:ilvl="0" w:tplc="D2FCCF10">
      <w:start w:val="1"/>
      <w:numFmt w:val="bullet"/>
      <w:lvlText w:val=""/>
      <w:lvlJc w:val="left"/>
      <w:pPr>
        <w:tabs>
          <w:tab w:val="num" w:pos="471"/>
        </w:tabs>
        <w:ind w:left="471" w:hanging="471"/>
      </w:pPr>
      <w:rPr>
        <w:rFonts w:ascii="Wingdings" w:hAnsi="Wingdings" w:hint="default"/>
        <w:sz w:val="16"/>
      </w:rPr>
    </w:lvl>
    <w:lvl w:ilvl="1" w:tplc="0409000F">
      <w:start w:val="1"/>
      <w:numFmt w:val="decimal"/>
      <w:lvlText w:val="%2."/>
      <w:lvlJc w:val="left"/>
      <w:pPr>
        <w:tabs>
          <w:tab w:val="num" w:pos="720"/>
        </w:tabs>
        <w:ind w:left="720" w:hanging="360"/>
      </w:p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4" w15:restartNumberingAfterBreak="0">
    <w:nsid w:val="4DD52560"/>
    <w:multiLevelType w:val="hybridMultilevel"/>
    <w:tmpl w:val="9314CC60"/>
    <w:lvl w:ilvl="0" w:tplc="D2FCCF10">
      <w:start w:val="1"/>
      <w:numFmt w:val="bullet"/>
      <w:lvlText w:val=""/>
      <w:lvlJc w:val="left"/>
      <w:pPr>
        <w:tabs>
          <w:tab w:val="num" w:pos="471"/>
        </w:tabs>
        <w:ind w:left="471" w:hanging="471"/>
      </w:pPr>
      <w:rPr>
        <w:rFonts w:ascii="Wingdings" w:hAnsi="Wingdings" w:hint="default"/>
        <w:sz w:val="16"/>
      </w:rPr>
    </w:lvl>
    <w:lvl w:ilvl="1" w:tplc="04090005">
      <w:start w:val="1"/>
      <w:numFmt w:val="bullet"/>
      <w:lvlText w:val=""/>
      <w:lvlJc w:val="left"/>
      <w:pPr>
        <w:tabs>
          <w:tab w:val="num" w:pos="1080"/>
        </w:tabs>
        <w:ind w:left="1080" w:hanging="360"/>
      </w:pPr>
      <w:rPr>
        <w:rFonts w:ascii="Wingdings" w:hAnsi="Wingdings" w:hint="default"/>
      </w:rPr>
    </w:lvl>
    <w:lvl w:ilvl="2" w:tplc="D9FC1B6E">
      <w:start w:val="2"/>
      <w:numFmt w:val="decimal"/>
      <w:lvlText w:val="%3."/>
      <w:lvlJc w:val="left"/>
      <w:pPr>
        <w:tabs>
          <w:tab w:val="num" w:pos="2340"/>
        </w:tabs>
        <w:ind w:left="2340" w:hanging="72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51880BA0"/>
    <w:multiLevelType w:val="hybridMultilevel"/>
    <w:tmpl w:val="5E1837C8"/>
    <w:lvl w:ilvl="0" w:tplc="D2FCCF10">
      <w:start w:val="1"/>
      <w:numFmt w:val="bullet"/>
      <w:lvlText w:val=""/>
      <w:lvlJc w:val="left"/>
      <w:pPr>
        <w:tabs>
          <w:tab w:val="num" w:pos="471"/>
        </w:tabs>
        <w:ind w:left="471" w:hanging="471"/>
      </w:pPr>
      <w:rPr>
        <w:rFonts w:ascii="Wingdings" w:hAnsi="Wingdings" w:hint="default"/>
        <w:sz w:val="16"/>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58865C0F"/>
    <w:multiLevelType w:val="hybridMultilevel"/>
    <w:tmpl w:val="FD7C29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9BE191C"/>
    <w:multiLevelType w:val="hybridMultilevel"/>
    <w:tmpl w:val="010EE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67768E"/>
    <w:multiLevelType w:val="hybridMultilevel"/>
    <w:tmpl w:val="0B8C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B641B4"/>
    <w:multiLevelType w:val="hybridMultilevel"/>
    <w:tmpl w:val="5E240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C376D1"/>
    <w:multiLevelType w:val="hybridMultilevel"/>
    <w:tmpl w:val="1B4A3C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DC4097E"/>
    <w:multiLevelType w:val="hybridMultilevel"/>
    <w:tmpl w:val="A6BC1E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14"/>
  </w:num>
  <w:num w:numId="3">
    <w:abstractNumId w:val="11"/>
  </w:num>
  <w:num w:numId="4">
    <w:abstractNumId w:val="13"/>
  </w:num>
  <w:num w:numId="5">
    <w:abstractNumId w:val="15"/>
  </w:num>
  <w:num w:numId="6">
    <w:abstractNumId w:val="0"/>
  </w:num>
  <w:num w:numId="7">
    <w:abstractNumId w:val="6"/>
  </w:num>
  <w:num w:numId="8">
    <w:abstractNumId w:val="10"/>
  </w:num>
  <w:num w:numId="9">
    <w:abstractNumId w:val="20"/>
  </w:num>
  <w:num w:numId="10">
    <w:abstractNumId w:val="16"/>
  </w:num>
  <w:num w:numId="11">
    <w:abstractNumId w:val="21"/>
  </w:num>
  <w:num w:numId="12">
    <w:abstractNumId w:val="5"/>
  </w:num>
  <w:num w:numId="13">
    <w:abstractNumId w:val="9"/>
  </w:num>
  <w:num w:numId="14">
    <w:abstractNumId w:val="12"/>
  </w:num>
  <w:num w:numId="15">
    <w:abstractNumId w:val="3"/>
  </w:num>
  <w:num w:numId="16">
    <w:abstractNumId w:val="8"/>
  </w:num>
  <w:num w:numId="17">
    <w:abstractNumId w:val="7"/>
  </w:num>
  <w:num w:numId="18">
    <w:abstractNumId w:val="4"/>
  </w:num>
  <w:num w:numId="19">
    <w:abstractNumId w:val="2"/>
  </w:num>
  <w:num w:numId="20">
    <w:abstractNumId w:val="17"/>
  </w:num>
  <w:num w:numId="21">
    <w:abstractNumId w:val="19"/>
  </w:num>
  <w:num w:numId="22">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195"/>
    <w:rsid w:val="000336E5"/>
    <w:rsid w:val="00067AA8"/>
    <w:rsid w:val="000B7E89"/>
    <w:rsid w:val="000E639A"/>
    <w:rsid w:val="000F6428"/>
    <w:rsid w:val="0012311E"/>
    <w:rsid w:val="001506F6"/>
    <w:rsid w:val="0018149E"/>
    <w:rsid w:val="00193C39"/>
    <w:rsid w:val="00212161"/>
    <w:rsid w:val="00231650"/>
    <w:rsid w:val="00247A06"/>
    <w:rsid w:val="00247E38"/>
    <w:rsid w:val="00270C87"/>
    <w:rsid w:val="00280333"/>
    <w:rsid w:val="002A14AD"/>
    <w:rsid w:val="002B3F54"/>
    <w:rsid w:val="002D436F"/>
    <w:rsid w:val="002F0E7B"/>
    <w:rsid w:val="002F3E95"/>
    <w:rsid w:val="00351F28"/>
    <w:rsid w:val="00460492"/>
    <w:rsid w:val="00490365"/>
    <w:rsid w:val="004A0798"/>
    <w:rsid w:val="004C3E54"/>
    <w:rsid w:val="004E1AFC"/>
    <w:rsid w:val="004E6738"/>
    <w:rsid w:val="005127E4"/>
    <w:rsid w:val="00513274"/>
    <w:rsid w:val="00523DD4"/>
    <w:rsid w:val="0052501D"/>
    <w:rsid w:val="00545CD8"/>
    <w:rsid w:val="00552C01"/>
    <w:rsid w:val="005D4D35"/>
    <w:rsid w:val="00635195"/>
    <w:rsid w:val="00652B41"/>
    <w:rsid w:val="0065728F"/>
    <w:rsid w:val="00672594"/>
    <w:rsid w:val="0068758D"/>
    <w:rsid w:val="006B1E48"/>
    <w:rsid w:val="006B4F32"/>
    <w:rsid w:val="006B67F0"/>
    <w:rsid w:val="006C7BDD"/>
    <w:rsid w:val="006E4EEB"/>
    <w:rsid w:val="006F2F42"/>
    <w:rsid w:val="006F6769"/>
    <w:rsid w:val="00716792"/>
    <w:rsid w:val="007561F6"/>
    <w:rsid w:val="00786EE6"/>
    <w:rsid w:val="007B37DA"/>
    <w:rsid w:val="007C01E9"/>
    <w:rsid w:val="007E086F"/>
    <w:rsid w:val="00804C73"/>
    <w:rsid w:val="00855715"/>
    <w:rsid w:val="0088101E"/>
    <w:rsid w:val="00892039"/>
    <w:rsid w:val="0089456F"/>
    <w:rsid w:val="008C1B3D"/>
    <w:rsid w:val="008C4BD9"/>
    <w:rsid w:val="008E3588"/>
    <w:rsid w:val="00957D95"/>
    <w:rsid w:val="0096363B"/>
    <w:rsid w:val="00AA60E0"/>
    <w:rsid w:val="00AB244B"/>
    <w:rsid w:val="00AD5630"/>
    <w:rsid w:val="00AE5BF2"/>
    <w:rsid w:val="00B2271C"/>
    <w:rsid w:val="00B37669"/>
    <w:rsid w:val="00B6593A"/>
    <w:rsid w:val="00BD6CF8"/>
    <w:rsid w:val="00C01BE6"/>
    <w:rsid w:val="00C01FD8"/>
    <w:rsid w:val="00C11ECA"/>
    <w:rsid w:val="00C17564"/>
    <w:rsid w:val="00C27D43"/>
    <w:rsid w:val="00C52D40"/>
    <w:rsid w:val="00CB0E41"/>
    <w:rsid w:val="00D55193"/>
    <w:rsid w:val="00D84176"/>
    <w:rsid w:val="00D84AB4"/>
    <w:rsid w:val="00DB2B65"/>
    <w:rsid w:val="00DC1894"/>
    <w:rsid w:val="00DC4B21"/>
    <w:rsid w:val="00DD299B"/>
    <w:rsid w:val="00DE28A7"/>
    <w:rsid w:val="00E1647F"/>
    <w:rsid w:val="00E74195"/>
    <w:rsid w:val="00F201C1"/>
    <w:rsid w:val="00F304E2"/>
    <w:rsid w:val="00F42063"/>
    <w:rsid w:val="00F55BB8"/>
    <w:rsid w:val="00F94BAF"/>
    <w:rsid w:val="00FC2F34"/>
    <w:rsid w:val="00FC65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9937"/>
    <o:shapelayout v:ext="edit">
      <o:idmap v:ext="edit" data="1"/>
    </o:shapelayout>
  </w:shapeDefaults>
  <w:decimalSymbol w:val="."/>
  <w:listSeparator w:val=","/>
  <w15:docId w15:val="{1AAC4E19-AA00-46D2-B32C-20FF12ECF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193"/>
    <w:pPr>
      <w:spacing w:before="120" w:after="120"/>
    </w:pPr>
    <w:rPr>
      <w:rFonts w:ascii="Arial" w:hAnsi="Arial"/>
      <w:sz w:val="22"/>
      <w:szCs w:val="24"/>
    </w:rPr>
  </w:style>
  <w:style w:type="paragraph" w:styleId="Heading1">
    <w:name w:val="heading 1"/>
    <w:basedOn w:val="Normal"/>
    <w:next w:val="Normal"/>
    <w:qFormat/>
    <w:rsid w:val="00D55193"/>
    <w:pPr>
      <w:keepNext/>
      <w:autoSpaceDE w:val="0"/>
      <w:autoSpaceDN w:val="0"/>
      <w:adjustRightInd w:val="0"/>
      <w:ind w:left="720"/>
      <w:outlineLvl w:val="0"/>
    </w:pPr>
    <w:rPr>
      <w:rFonts w:cs="Arial"/>
      <w:b/>
      <w:bCs/>
      <w:sz w:val="23"/>
      <w:szCs w:val="23"/>
      <w:lang w:val="en-US" w:eastAsia="en-US"/>
    </w:rPr>
  </w:style>
  <w:style w:type="paragraph" w:styleId="Heading2">
    <w:name w:val="heading 2"/>
    <w:basedOn w:val="Normal"/>
    <w:next w:val="Normal"/>
    <w:qFormat/>
    <w:rsid w:val="00D55193"/>
    <w:pPr>
      <w:keepNext/>
      <w:tabs>
        <w:tab w:val="left" w:pos="720"/>
      </w:tabs>
      <w:ind w:left="360"/>
      <w:jc w:val="both"/>
      <w:outlineLvl w:val="1"/>
    </w:pPr>
    <w:rPr>
      <w:rFonts w:cs="Arial"/>
      <w:b/>
    </w:rPr>
  </w:style>
  <w:style w:type="paragraph" w:styleId="Heading3">
    <w:name w:val="heading 3"/>
    <w:basedOn w:val="Normal"/>
    <w:next w:val="Normal"/>
    <w:qFormat/>
    <w:rsid w:val="00D55193"/>
    <w:pPr>
      <w:keepNext/>
      <w:tabs>
        <w:tab w:val="left" w:pos="720"/>
      </w:tabs>
      <w:autoSpaceDE w:val="0"/>
      <w:autoSpaceDN w:val="0"/>
      <w:adjustRightInd w:val="0"/>
      <w:jc w:val="both"/>
      <w:outlineLvl w:val="2"/>
    </w:pPr>
    <w:rPr>
      <w:rFonts w:cs="Arial"/>
      <w:b/>
      <w:sz w:val="28"/>
    </w:rPr>
  </w:style>
  <w:style w:type="paragraph" w:styleId="Heading4">
    <w:name w:val="heading 4"/>
    <w:basedOn w:val="Normal"/>
    <w:next w:val="Normal"/>
    <w:qFormat/>
    <w:rsid w:val="00D55193"/>
    <w:pPr>
      <w:keepNext/>
      <w:outlineLvl w:val="3"/>
    </w:pPr>
    <w:rPr>
      <w:b/>
      <w:bCs/>
    </w:rPr>
  </w:style>
  <w:style w:type="paragraph" w:styleId="Heading5">
    <w:name w:val="heading 5"/>
    <w:basedOn w:val="Normal"/>
    <w:next w:val="Normal"/>
    <w:qFormat/>
    <w:rsid w:val="00D55193"/>
    <w:pPr>
      <w:keepNext/>
      <w:tabs>
        <w:tab w:val="left" w:pos="720"/>
      </w:tabs>
      <w:jc w:val="both"/>
      <w:outlineLvl w:val="4"/>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55193"/>
    <w:rPr>
      <w:rFonts w:ascii="Tahoma" w:hAnsi="Tahoma" w:cs="Tahoma"/>
      <w:sz w:val="16"/>
      <w:szCs w:val="16"/>
    </w:rPr>
  </w:style>
  <w:style w:type="paragraph" w:styleId="Header">
    <w:name w:val="header"/>
    <w:basedOn w:val="Normal"/>
    <w:rsid w:val="00D55193"/>
    <w:pPr>
      <w:tabs>
        <w:tab w:val="center" w:pos="4153"/>
        <w:tab w:val="right" w:pos="8306"/>
      </w:tabs>
    </w:pPr>
  </w:style>
  <w:style w:type="paragraph" w:styleId="Footer">
    <w:name w:val="footer"/>
    <w:basedOn w:val="Normal"/>
    <w:rsid w:val="00D55193"/>
    <w:pPr>
      <w:tabs>
        <w:tab w:val="center" w:pos="4153"/>
        <w:tab w:val="right" w:pos="8306"/>
      </w:tabs>
    </w:pPr>
  </w:style>
  <w:style w:type="character" w:styleId="PageNumber">
    <w:name w:val="page number"/>
    <w:basedOn w:val="DefaultParagraphFont"/>
    <w:rsid w:val="00D55193"/>
  </w:style>
  <w:style w:type="paragraph" w:customStyle="1" w:styleId="SubHeading">
    <w:name w:val="SubHeading"/>
    <w:basedOn w:val="Normal"/>
    <w:rsid w:val="00D55193"/>
    <w:pPr>
      <w:numPr>
        <w:numId w:val="1"/>
      </w:numPr>
      <w:spacing w:before="240" w:after="400"/>
    </w:pPr>
    <w:rPr>
      <w:rFonts w:ascii="Times New Roman" w:hAnsi="Times New Roman"/>
      <w:b/>
      <w:sz w:val="40"/>
      <w:szCs w:val="20"/>
    </w:rPr>
  </w:style>
  <w:style w:type="paragraph" w:styleId="BodyTextIndent">
    <w:name w:val="Body Text Indent"/>
    <w:basedOn w:val="Normal"/>
    <w:rsid w:val="00D55193"/>
    <w:pPr>
      <w:ind w:left="720"/>
    </w:pPr>
  </w:style>
  <w:style w:type="paragraph" w:styleId="BodyTextIndent2">
    <w:name w:val="Body Text Indent 2"/>
    <w:basedOn w:val="Normal"/>
    <w:rsid w:val="00D55193"/>
    <w:pPr>
      <w:ind w:left="1080"/>
    </w:pPr>
    <w:rPr>
      <w:rFonts w:cs="Arial"/>
    </w:rPr>
  </w:style>
  <w:style w:type="paragraph" w:styleId="BodyTextIndent3">
    <w:name w:val="Body Text Indent 3"/>
    <w:basedOn w:val="Normal"/>
    <w:rsid w:val="00D55193"/>
    <w:pPr>
      <w:tabs>
        <w:tab w:val="left" w:pos="360"/>
      </w:tabs>
      <w:ind w:left="360"/>
    </w:pPr>
    <w:rPr>
      <w:rFonts w:cs="Arial"/>
    </w:rPr>
  </w:style>
  <w:style w:type="paragraph" w:styleId="Title">
    <w:name w:val="Title"/>
    <w:basedOn w:val="Normal"/>
    <w:qFormat/>
    <w:rsid w:val="00D55193"/>
    <w:pPr>
      <w:spacing w:before="0" w:after="0"/>
      <w:jc w:val="center"/>
    </w:pPr>
    <w:rPr>
      <w:rFonts w:cs="Arial"/>
      <w:b/>
      <w:sz w:val="20"/>
      <w:szCs w:val="20"/>
    </w:rPr>
  </w:style>
  <w:style w:type="character" w:styleId="Hyperlink">
    <w:name w:val="Hyperlink"/>
    <w:basedOn w:val="DefaultParagraphFont"/>
    <w:rsid w:val="00D55193"/>
    <w:rPr>
      <w:color w:val="0000FF"/>
      <w:u w:val="single"/>
    </w:rPr>
  </w:style>
  <w:style w:type="paragraph" w:styleId="NormalWeb">
    <w:name w:val="Normal (Web)"/>
    <w:basedOn w:val="Normal"/>
    <w:rsid w:val="00D55193"/>
    <w:pPr>
      <w:spacing w:before="100" w:beforeAutospacing="1" w:after="100" w:afterAutospacing="1"/>
    </w:pPr>
    <w:rPr>
      <w:rFonts w:ascii="Times New Roman" w:hAnsi="Times New Roman"/>
      <w:lang w:eastAsia="en-US"/>
    </w:rPr>
  </w:style>
  <w:style w:type="paragraph" w:styleId="PlainText">
    <w:name w:val="Plain Text"/>
    <w:basedOn w:val="Normal"/>
    <w:rsid w:val="00D55193"/>
    <w:pPr>
      <w:spacing w:before="0" w:after="0"/>
    </w:pPr>
    <w:rPr>
      <w:rFonts w:ascii="Courier New" w:hAnsi="Courier New" w:cs="Courier New"/>
      <w:sz w:val="20"/>
      <w:szCs w:val="20"/>
      <w:lang w:eastAsia="en-US"/>
    </w:rPr>
  </w:style>
  <w:style w:type="paragraph" w:styleId="BodyText">
    <w:name w:val="Body Text"/>
    <w:basedOn w:val="Normal"/>
    <w:rsid w:val="00D55193"/>
    <w:pPr>
      <w:jc w:val="both"/>
    </w:pPr>
    <w:rPr>
      <w:rFonts w:cs="Arial"/>
      <w:b/>
    </w:rPr>
  </w:style>
  <w:style w:type="paragraph" w:styleId="BodyText2">
    <w:name w:val="Body Text 2"/>
    <w:basedOn w:val="Normal"/>
    <w:rsid w:val="00D55193"/>
    <w:rPr>
      <w:rFonts w:cs="Arial"/>
      <w:b/>
      <w:bCs/>
    </w:rPr>
  </w:style>
  <w:style w:type="character" w:styleId="CommentReference">
    <w:name w:val="annotation reference"/>
    <w:basedOn w:val="DefaultParagraphFont"/>
    <w:rsid w:val="00DC1894"/>
    <w:rPr>
      <w:sz w:val="16"/>
      <w:szCs w:val="16"/>
    </w:rPr>
  </w:style>
  <w:style w:type="paragraph" w:styleId="CommentText">
    <w:name w:val="annotation text"/>
    <w:basedOn w:val="Normal"/>
    <w:link w:val="CommentTextChar"/>
    <w:rsid w:val="00DC1894"/>
    <w:rPr>
      <w:sz w:val="20"/>
      <w:szCs w:val="20"/>
    </w:rPr>
  </w:style>
  <w:style w:type="character" w:customStyle="1" w:styleId="CommentTextChar">
    <w:name w:val="Comment Text Char"/>
    <w:basedOn w:val="DefaultParagraphFont"/>
    <w:link w:val="CommentText"/>
    <w:rsid w:val="00DC1894"/>
    <w:rPr>
      <w:rFonts w:ascii="Arial" w:hAnsi="Arial"/>
    </w:rPr>
  </w:style>
  <w:style w:type="paragraph" w:styleId="CommentSubject">
    <w:name w:val="annotation subject"/>
    <w:basedOn w:val="CommentText"/>
    <w:next w:val="CommentText"/>
    <w:link w:val="CommentSubjectChar"/>
    <w:rsid w:val="00DC1894"/>
    <w:rPr>
      <w:b/>
      <w:bCs/>
    </w:rPr>
  </w:style>
  <w:style w:type="character" w:customStyle="1" w:styleId="CommentSubjectChar">
    <w:name w:val="Comment Subject Char"/>
    <w:basedOn w:val="CommentTextChar"/>
    <w:link w:val="CommentSubject"/>
    <w:rsid w:val="00DC1894"/>
    <w:rPr>
      <w:rFonts w:ascii="Arial" w:hAnsi="Arial"/>
      <w:b/>
      <w:bCs/>
    </w:rPr>
  </w:style>
  <w:style w:type="paragraph" w:customStyle="1" w:styleId="Default">
    <w:name w:val="Default"/>
    <w:rsid w:val="000336E5"/>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422884">
      <w:bodyDiv w:val="1"/>
      <w:marLeft w:val="0"/>
      <w:marRight w:val="0"/>
      <w:marTop w:val="0"/>
      <w:marBottom w:val="0"/>
      <w:divBdr>
        <w:top w:val="none" w:sz="0" w:space="0" w:color="auto"/>
        <w:left w:val="none" w:sz="0" w:space="0" w:color="auto"/>
        <w:bottom w:val="none" w:sz="0" w:space="0" w:color="auto"/>
        <w:right w:val="none" w:sz="0" w:space="0" w:color="auto"/>
      </w:divBdr>
    </w:div>
    <w:div w:id="65780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1521</Words>
  <Characters>8946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Leeds City College</vt:lpstr>
    </vt:vector>
  </TitlesOfParts>
  <Company>Leeds City College</Company>
  <LinksUpToDate>false</LinksUpToDate>
  <CharactersWithSpaces>10447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Leeds City College</dc:title>
  <dc:creator>Sarah Wilson</dc:creator>
  <cp:lastModifiedBy>Sarah Wilson</cp:lastModifiedBy>
  <cp:revision>2</cp:revision>
  <cp:lastPrinted>2010-05-11T08:27:00Z</cp:lastPrinted>
  <dcterms:created xsi:type="dcterms:W3CDTF">2019-08-19T12:30:00Z</dcterms:created>
  <dcterms:modified xsi:type="dcterms:W3CDTF">2019-08-19T12:30:00Z</dcterms:modified>
</cp:coreProperties>
</file>