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41" w:rsidRDefault="004C31AD">
      <w:pPr>
        <w:tabs>
          <w:tab w:val="left" w:pos="720"/>
        </w:tabs>
        <w:autoSpaceDE w:val="0"/>
        <w:autoSpaceDN w:val="0"/>
        <w:adjustRightInd w:val="0"/>
        <w:jc w:val="both"/>
        <w:rPr>
          <w:rFonts w:cs="Arial"/>
          <w:b/>
        </w:rPr>
      </w:pPr>
      <w:r w:rsidRPr="00A73FE3">
        <w:rPr>
          <w:rFonts w:cs="Arial"/>
          <w:b/>
          <w:noProof/>
          <w:lang w:eastAsia="en-GB"/>
        </w:rPr>
        <w:drawing>
          <wp:inline distT="0" distB="0" distL="0" distR="0" wp14:anchorId="560E15FB" wp14:editId="756E1852">
            <wp:extent cx="2162175" cy="695325"/>
            <wp:effectExtent l="0" t="0" r="9525" b="9525"/>
            <wp:docPr id="2" name="Picture 2" descr="C:\Inettemp\s.wilson\Cache\Content.Outlook\W6ZTMV2I\UC Corporate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temp\s.wilson\Cache\Content.Outlook\W6ZTMV2I\UC Corporate Logo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Pr="00526641" w:rsidRDefault="00526641">
      <w:pPr>
        <w:tabs>
          <w:tab w:val="left" w:pos="720"/>
        </w:tabs>
        <w:autoSpaceDE w:val="0"/>
        <w:autoSpaceDN w:val="0"/>
        <w:adjustRightInd w:val="0"/>
        <w:jc w:val="both"/>
        <w:rPr>
          <w:rFonts w:cs="Arial"/>
          <w:b/>
          <w:sz w:val="28"/>
          <w:szCs w:val="28"/>
        </w:rPr>
      </w:pPr>
      <w:r>
        <w:rPr>
          <w:rFonts w:cs="Arial"/>
          <w:b/>
          <w:sz w:val="28"/>
          <w:szCs w:val="28"/>
        </w:rPr>
        <w:t xml:space="preserve"> </w:t>
      </w:r>
    </w:p>
    <w:p w:rsidR="00526641" w:rsidRPr="00526641" w:rsidRDefault="00526641">
      <w:pPr>
        <w:tabs>
          <w:tab w:val="left" w:pos="720"/>
        </w:tabs>
        <w:autoSpaceDE w:val="0"/>
        <w:autoSpaceDN w:val="0"/>
        <w:adjustRightInd w:val="0"/>
        <w:jc w:val="both"/>
        <w:rPr>
          <w:rFonts w:cs="Arial"/>
          <w:b/>
          <w:sz w:val="28"/>
          <w:szCs w:val="28"/>
        </w:rPr>
      </w:pPr>
    </w:p>
    <w:p w:rsidR="00526641" w:rsidRDefault="00526641">
      <w:pPr>
        <w:tabs>
          <w:tab w:val="left" w:pos="720"/>
        </w:tabs>
        <w:autoSpaceDE w:val="0"/>
        <w:autoSpaceDN w:val="0"/>
        <w:adjustRightInd w:val="0"/>
        <w:jc w:val="both"/>
        <w:rPr>
          <w:rFonts w:cs="Arial"/>
          <w:b/>
          <w:sz w:val="28"/>
          <w:szCs w:val="28"/>
        </w:rPr>
      </w:pPr>
    </w:p>
    <w:p w:rsidR="00526641" w:rsidRPr="00526641" w:rsidRDefault="00526641">
      <w:pPr>
        <w:tabs>
          <w:tab w:val="left" w:pos="720"/>
        </w:tabs>
        <w:autoSpaceDE w:val="0"/>
        <w:autoSpaceDN w:val="0"/>
        <w:adjustRightInd w:val="0"/>
        <w:jc w:val="both"/>
        <w:rPr>
          <w:rFonts w:cs="Arial"/>
          <w:b/>
          <w:sz w:val="28"/>
          <w:szCs w:val="28"/>
        </w:rPr>
      </w:pPr>
    </w:p>
    <w:p w:rsidR="00526641" w:rsidRPr="00526641" w:rsidRDefault="00526641">
      <w:pPr>
        <w:tabs>
          <w:tab w:val="left" w:pos="720"/>
        </w:tabs>
        <w:autoSpaceDE w:val="0"/>
        <w:autoSpaceDN w:val="0"/>
        <w:adjustRightInd w:val="0"/>
        <w:jc w:val="both"/>
        <w:rPr>
          <w:rFonts w:cs="Arial"/>
          <w:b/>
          <w:sz w:val="28"/>
          <w:szCs w:val="28"/>
        </w:rPr>
      </w:pPr>
    </w:p>
    <w:p w:rsidR="009E1645" w:rsidRDefault="00A53D95">
      <w:pPr>
        <w:tabs>
          <w:tab w:val="left" w:pos="720"/>
        </w:tabs>
        <w:autoSpaceDE w:val="0"/>
        <w:autoSpaceDN w:val="0"/>
        <w:adjustRightInd w:val="0"/>
        <w:jc w:val="both"/>
        <w:rPr>
          <w:rFonts w:cs="Arial"/>
          <w:b/>
          <w:sz w:val="28"/>
          <w:szCs w:val="28"/>
        </w:rPr>
      </w:pPr>
      <w:smartTag w:uri="urn:schemas-microsoft-com:office:smarttags" w:element="place">
        <w:smartTag w:uri="urn:schemas-microsoft-com:office:smarttags" w:element="PlaceName">
          <w:r>
            <w:rPr>
              <w:rFonts w:cs="Arial"/>
              <w:b/>
              <w:sz w:val="28"/>
              <w:szCs w:val="28"/>
            </w:rPr>
            <w:t>Leeds</w:t>
          </w:r>
        </w:smartTag>
        <w:r>
          <w:rPr>
            <w:rFonts w:cs="Arial"/>
            <w:b/>
            <w:sz w:val="28"/>
            <w:szCs w:val="28"/>
          </w:rPr>
          <w:t xml:space="preserve"> </w:t>
        </w:r>
        <w:smartTag w:uri="urn:schemas-microsoft-com:office:smarttags" w:element="PlaceType">
          <w:r>
            <w:rPr>
              <w:rFonts w:cs="Arial"/>
              <w:b/>
              <w:sz w:val="28"/>
              <w:szCs w:val="28"/>
            </w:rPr>
            <w:t>City</w:t>
          </w:r>
        </w:smartTag>
        <w:r>
          <w:rPr>
            <w:rFonts w:cs="Arial"/>
            <w:b/>
            <w:sz w:val="28"/>
            <w:szCs w:val="28"/>
          </w:rPr>
          <w:t xml:space="preserve"> </w:t>
        </w:r>
        <w:smartTag w:uri="urn:schemas-microsoft-com:office:smarttags" w:element="PlaceType">
          <w:r>
            <w:rPr>
              <w:rFonts w:cs="Arial"/>
              <w:b/>
              <w:sz w:val="28"/>
              <w:szCs w:val="28"/>
            </w:rPr>
            <w:t>College</w:t>
          </w:r>
        </w:smartTag>
      </w:smartTag>
    </w:p>
    <w:p w:rsidR="00526641" w:rsidRDefault="00526641">
      <w:pPr>
        <w:tabs>
          <w:tab w:val="left" w:pos="720"/>
        </w:tabs>
        <w:autoSpaceDE w:val="0"/>
        <w:autoSpaceDN w:val="0"/>
        <w:adjustRightInd w:val="0"/>
        <w:jc w:val="both"/>
        <w:rPr>
          <w:rFonts w:cs="Arial"/>
          <w:b/>
          <w:sz w:val="28"/>
          <w:szCs w:val="28"/>
        </w:rPr>
      </w:pPr>
    </w:p>
    <w:p w:rsidR="00526641" w:rsidRPr="00526641" w:rsidRDefault="00526641">
      <w:pPr>
        <w:tabs>
          <w:tab w:val="left" w:pos="720"/>
        </w:tabs>
        <w:autoSpaceDE w:val="0"/>
        <w:autoSpaceDN w:val="0"/>
        <w:adjustRightInd w:val="0"/>
        <w:jc w:val="both"/>
        <w:rPr>
          <w:rFonts w:cs="Arial"/>
          <w:b/>
          <w:sz w:val="28"/>
          <w:szCs w:val="28"/>
        </w:rPr>
      </w:pPr>
    </w:p>
    <w:p w:rsidR="00526641" w:rsidRDefault="00526641">
      <w:pPr>
        <w:tabs>
          <w:tab w:val="left" w:pos="720"/>
        </w:tabs>
        <w:autoSpaceDE w:val="0"/>
        <w:autoSpaceDN w:val="0"/>
        <w:adjustRightInd w:val="0"/>
        <w:jc w:val="both"/>
        <w:rPr>
          <w:rFonts w:cs="Arial"/>
          <w:b/>
          <w:sz w:val="28"/>
          <w:szCs w:val="28"/>
        </w:rPr>
      </w:pPr>
    </w:p>
    <w:p w:rsidR="00D64F2A" w:rsidRDefault="009E1645" w:rsidP="00D64F2A">
      <w:pPr>
        <w:tabs>
          <w:tab w:val="left" w:pos="720"/>
        </w:tabs>
        <w:autoSpaceDE w:val="0"/>
        <w:autoSpaceDN w:val="0"/>
        <w:adjustRightInd w:val="0"/>
        <w:rPr>
          <w:rFonts w:cs="Arial"/>
          <w:b/>
          <w:sz w:val="28"/>
          <w:szCs w:val="28"/>
        </w:rPr>
      </w:pPr>
      <w:r w:rsidRPr="00526641">
        <w:rPr>
          <w:rFonts w:cs="Arial"/>
          <w:b/>
          <w:sz w:val="28"/>
          <w:szCs w:val="28"/>
        </w:rPr>
        <w:t xml:space="preserve">Higher Education </w:t>
      </w:r>
    </w:p>
    <w:p w:rsidR="00A53D95" w:rsidRDefault="00A53D95" w:rsidP="00D64F2A">
      <w:pPr>
        <w:tabs>
          <w:tab w:val="left" w:pos="720"/>
        </w:tabs>
        <w:autoSpaceDE w:val="0"/>
        <w:autoSpaceDN w:val="0"/>
        <w:adjustRightInd w:val="0"/>
        <w:rPr>
          <w:rFonts w:cs="Arial"/>
          <w:b/>
          <w:sz w:val="28"/>
          <w:szCs w:val="28"/>
        </w:rPr>
      </w:pPr>
    </w:p>
    <w:p w:rsidR="009E1645" w:rsidRPr="00526641" w:rsidRDefault="00B12029" w:rsidP="00D64F2A">
      <w:pPr>
        <w:tabs>
          <w:tab w:val="left" w:pos="720"/>
        </w:tabs>
        <w:autoSpaceDE w:val="0"/>
        <w:autoSpaceDN w:val="0"/>
        <w:adjustRightInd w:val="0"/>
        <w:rPr>
          <w:rFonts w:cs="Arial"/>
          <w:b/>
          <w:sz w:val="28"/>
          <w:szCs w:val="28"/>
        </w:rPr>
      </w:pPr>
      <w:r>
        <w:rPr>
          <w:rFonts w:cs="Arial"/>
          <w:b/>
          <w:sz w:val="28"/>
          <w:szCs w:val="28"/>
        </w:rPr>
        <w:t xml:space="preserve">Approval and </w:t>
      </w:r>
      <w:r w:rsidR="00D70E88">
        <w:rPr>
          <w:rFonts w:cs="Arial"/>
          <w:b/>
          <w:sz w:val="28"/>
          <w:szCs w:val="28"/>
        </w:rPr>
        <w:t>Review of Programmes</w:t>
      </w:r>
      <w:r w:rsidR="00470015">
        <w:rPr>
          <w:rFonts w:cs="Arial"/>
          <w:b/>
          <w:sz w:val="28"/>
          <w:szCs w:val="28"/>
        </w:rPr>
        <w:t xml:space="preserve"> Policy</w:t>
      </w: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701868" w:rsidRDefault="00701868" w:rsidP="00526641">
      <w:pPr>
        <w:tabs>
          <w:tab w:val="left" w:pos="720"/>
        </w:tabs>
        <w:spacing w:line="360" w:lineRule="auto"/>
        <w:jc w:val="both"/>
        <w:rPr>
          <w:rFonts w:cs="Arial"/>
          <w:b/>
          <w:sz w:val="22"/>
          <w:szCs w:val="22"/>
        </w:rPr>
      </w:pPr>
    </w:p>
    <w:p w:rsidR="00430E63" w:rsidRPr="00B02807" w:rsidRDefault="00430E63" w:rsidP="00526641">
      <w:pPr>
        <w:tabs>
          <w:tab w:val="left" w:pos="720"/>
        </w:tabs>
        <w:spacing w:line="360" w:lineRule="auto"/>
        <w:jc w:val="both"/>
        <w:rPr>
          <w:rFonts w:cs="Arial"/>
          <w:b/>
          <w:sz w:val="22"/>
          <w:szCs w:val="22"/>
        </w:rPr>
      </w:pPr>
      <w:r w:rsidRPr="00B02807">
        <w:rPr>
          <w:rFonts w:cs="Arial"/>
          <w:b/>
          <w:sz w:val="22"/>
          <w:szCs w:val="22"/>
        </w:rPr>
        <w:t xml:space="preserve">Owner: </w:t>
      </w:r>
      <w:r w:rsidR="007F6605" w:rsidRPr="00434721">
        <w:rPr>
          <w:rFonts w:cs="Arial"/>
          <w:sz w:val="22"/>
          <w:szCs w:val="22"/>
        </w:rPr>
        <w:t>HEDO</w:t>
      </w:r>
    </w:p>
    <w:p w:rsidR="00430E63" w:rsidRDefault="00434721" w:rsidP="00526641">
      <w:pPr>
        <w:tabs>
          <w:tab w:val="left" w:pos="720"/>
        </w:tabs>
        <w:spacing w:line="360" w:lineRule="auto"/>
        <w:jc w:val="both"/>
        <w:rPr>
          <w:rFonts w:cs="Arial"/>
          <w:b/>
          <w:sz w:val="22"/>
          <w:szCs w:val="22"/>
        </w:rPr>
      </w:pPr>
      <w:r>
        <w:rPr>
          <w:rFonts w:cs="Arial"/>
          <w:b/>
          <w:sz w:val="22"/>
          <w:szCs w:val="22"/>
        </w:rPr>
        <w:t>Policy Introduced</w:t>
      </w:r>
      <w:r w:rsidR="00430E63" w:rsidRPr="00B02807">
        <w:rPr>
          <w:rFonts w:cs="Arial"/>
          <w:b/>
          <w:sz w:val="22"/>
          <w:szCs w:val="22"/>
        </w:rPr>
        <w:t xml:space="preserve">: </w:t>
      </w:r>
      <w:r w:rsidRPr="00434721">
        <w:rPr>
          <w:rFonts w:cs="Arial"/>
          <w:sz w:val="22"/>
          <w:szCs w:val="22"/>
        </w:rPr>
        <w:t>June 2015</w:t>
      </w:r>
    </w:p>
    <w:p w:rsidR="00430E63" w:rsidRDefault="004C31AD" w:rsidP="00526641">
      <w:pPr>
        <w:tabs>
          <w:tab w:val="left" w:pos="720"/>
        </w:tabs>
        <w:spacing w:line="360" w:lineRule="auto"/>
        <w:jc w:val="both"/>
        <w:rPr>
          <w:rFonts w:cs="Arial"/>
          <w:sz w:val="22"/>
          <w:szCs w:val="22"/>
        </w:rPr>
      </w:pPr>
      <w:r>
        <w:rPr>
          <w:rFonts w:cs="Arial"/>
          <w:b/>
          <w:sz w:val="22"/>
          <w:szCs w:val="22"/>
        </w:rPr>
        <w:t>Last</w:t>
      </w:r>
      <w:r w:rsidR="00430E63" w:rsidRPr="00851E47">
        <w:rPr>
          <w:rFonts w:cs="Arial"/>
          <w:b/>
          <w:sz w:val="22"/>
          <w:szCs w:val="22"/>
        </w:rPr>
        <w:t xml:space="preserve"> Review: </w:t>
      </w:r>
      <w:r w:rsidR="00C90B15" w:rsidRPr="00851E47">
        <w:rPr>
          <w:rFonts w:cs="Arial"/>
          <w:sz w:val="22"/>
          <w:szCs w:val="22"/>
        </w:rPr>
        <w:t>September 2019</w:t>
      </w:r>
    </w:p>
    <w:p w:rsidR="004C31AD" w:rsidRPr="00851E47" w:rsidRDefault="004C31AD" w:rsidP="00526641">
      <w:pPr>
        <w:tabs>
          <w:tab w:val="left" w:pos="720"/>
        </w:tabs>
        <w:spacing w:line="360" w:lineRule="auto"/>
        <w:jc w:val="both"/>
        <w:rPr>
          <w:rFonts w:cs="Arial"/>
          <w:b/>
          <w:sz w:val="22"/>
          <w:szCs w:val="22"/>
        </w:rPr>
      </w:pPr>
      <w:r w:rsidRPr="004C31AD">
        <w:rPr>
          <w:rFonts w:cs="Arial"/>
          <w:b/>
          <w:sz w:val="22"/>
          <w:szCs w:val="22"/>
        </w:rPr>
        <w:t>Next Review</w:t>
      </w:r>
      <w:r>
        <w:rPr>
          <w:rFonts w:cs="Arial"/>
          <w:sz w:val="22"/>
          <w:szCs w:val="22"/>
        </w:rPr>
        <w:t>: September 2021</w:t>
      </w:r>
    </w:p>
    <w:p w:rsidR="0035237F" w:rsidRPr="00A53D95" w:rsidRDefault="00430E63" w:rsidP="00ED69FB">
      <w:pPr>
        <w:tabs>
          <w:tab w:val="left" w:pos="720"/>
        </w:tabs>
        <w:spacing w:line="360" w:lineRule="auto"/>
        <w:rPr>
          <w:rFonts w:cs="Arial"/>
          <w:b/>
          <w:color w:val="FF0000"/>
          <w:sz w:val="22"/>
          <w:szCs w:val="22"/>
        </w:rPr>
      </w:pPr>
      <w:r w:rsidRPr="00851E47">
        <w:rPr>
          <w:rFonts w:cs="Arial"/>
          <w:b/>
          <w:sz w:val="22"/>
          <w:szCs w:val="22"/>
        </w:rPr>
        <w:t xml:space="preserve">Endorsed by: </w:t>
      </w:r>
      <w:r w:rsidR="001B073C" w:rsidRPr="00851E47">
        <w:rPr>
          <w:rFonts w:cs="Arial"/>
          <w:sz w:val="22"/>
          <w:szCs w:val="22"/>
        </w:rPr>
        <w:t xml:space="preserve">HE </w:t>
      </w:r>
      <w:r w:rsidR="00C90B15" w:rsidRPr="00851E47">
        <w:rPr>
          <w:rFonts w:cs="Arial"/>
          <w:sz w:val="22"/>
          <w:szCs w:val="22"/>
        </w:rPr>
        <w:t>Quality &amp; Enhancement Committee</w:t>
      </w:r>
      <w:r w:rsidR="001B073C" w:rsidRPr="00851E47">
        <w:rPr>
          <w:rFonts w:cs="Arial"/>
          <w:sz w:val="22"/>
          <w:szCs w:val="22"/>
        </w:rPr>
        <w:t xml:space="preserve"> and HE Academic Board</w:t>
      </w:r>
      <w:r w:rsidR="0035237F" w:rsidRPr="00434721">
        <w:rPr>
          <w:rFonts w:cs="Arial"/>
          <w:color w:val="FF0000"/>
          <w:sz w:val="22"/>
          <w:szCs w:val="22"/>
        </w:rPr>
        <w:t xml:space="preserve">                       </w:t>
      </w:r>
    </w:p>
    <w:p w:rsidR="009E1645" w:rsidRPr="00526641" w:rsidRDefault="00D748D5" w:rsidP="00D748D5">
      <w:pPr>
        <w:tabs>
          <w:tab w:val="left" w:pos="720"/>
        </w:tabs>
        <w:spacing w:line="360" w:lineRule="auto"/>
        <w:rPr>
          <w:rFonts w:cs="Arial"/>
          <w:b/>
          <w:sz w:val="22"/>
          <w:szCs w:val="22"/>
        </w:rPr>
      </w:pPr>
      <w:r>
        <w:rPr>
          <w:rFonts w:cs="Arial"/>
          <w:b/>
          <w:sz w:val="22"/>
          <w:szCs w:val="22"/>
        </w:rPr>
        <w:lastRenderedPageBreak/>
        <w:t>S</w:t>
      </w:r>
      <w:r w:rsidR="009E1645" w:rsidRPr="00526641">
        <w:rPr>
          <w:rFonts w:cs="Arial"/>
          <w:b/>
          <w:sz w:val="22"/>
          <w:szCs w:val="22"/>
        </w:rPr>
        <w:t>cope and Purpose of Policy</w:t>
      </w:r>
    </w:p>
    <w:p w:rsidR="009E1645" w:rsidRPr="00526641" w:rsidRDefault="009E1645">
      <w:pPr>
        <w:pStyle w:val="BodyTextIndent2"/>
        <w:ind w:left="0"/>
        <w:rPr>
          <w:sz w:val="22"/>
          <w:szCs w:val="22"/>
        </w:rPr>
      </w:pPr>
      <w:r w:rsidRPr="00526641">
        <w:rPr>
          <w:sz w:val="22"/>
          <w:szCs w:val="22"/>
        </w:rPr>
        <w:t xml:space="preserve">This policy applies to </w:t>
      </w:r>
      <w:r w:rsidR="00B12029">
        <w:rPr>
          <w:sz w:val="22"/>
          <w:szCs w:val="22"/>
        </w:rPr>
        <w:t xml:space="preserve">the approval and </w:t>
      </w:r>
      <w:r w:rsidR="00D70E88" w:rsidRPr="00851E47">
        <w:rPr>
          <w:sz w:val="22"/>
          <w:szCs w:val="22"/>
        </w:rPr>
        <w:t xml:space="preserve">review </w:t>
      </w:r>
      <w:r w:rsidR="00B12029" w:rsidRPr="00851E47">
        <w:rPr>
          <w:sz w:val="22"/>
          <w:szCs w:val="22"/>
        </w:rPr>
        <w:t xml:space="preserve">of </w:t>
      </w:r>
      <w:r w:rsidR="00C90B15" w:rsidRPr="00851E47">
        <w:rPr>
          <w:sz w:val="22"/>
          <w:szCs w:val="22"/>
        </w:rPr>
        <w:t xml:space="preserve">all Higher Education </w:t>
      </w:r>
      <w:r w:rsidR="00B12029" w:rsidRPr="00851E47">
        <w:rPr>
          <w:sz w:val="22"/>
          <w:szCs w:val="22"/>
        </w:rPr>
        <w:t>programmes</w:t>
      </w:r>
      <w:r w:rsidR="00B12029">
        <w:rPr>
          <w:sz w:val="22"/>
          <w:szCs w:val="22"/>
        </w:rPr>
        <w:t xml:space="preserve"> or the major amendment of existing programmes.</w:t>
      </w:r>
      <w:r w:rsidRPr="00526641">
        <w:rPr>
          <w:sz w:val="22"/>
          <w:szCs w:val="22"/>
        </w:rPr>
        <w:t xml:space="preserve">  </w:t>
      </w:r>
    </w:p>
    <w:p w:rsidR="00FE374F" w:rsidRDefault="009E1645">
      <w:pPr>
        <w:pStyle w:val="BodyTextIndent"/>
        <w:ind w:left="0"/>
        <w:rPr>
          <w:sz w:val="22"/>
          <w:szCs w:val="22"/>
        </w:rPr>
      </w:pPr>
      <w:r w:rsidRPr="00526641">
        <w:rPr>
          <w:sz w:val="22"/>
          <w:szCs w:val="22"/>
        </w:rPr>
        <w:t>Its purp</w:t>
      </w:r>
      <w:r w:rsidR="006C0DF6">
        <w:rPr>
          <w:sz w:val="22"/>
          <w:szCs w:val="22"/>
        </w:rPr>
        <w:t>ose is</w:t>
      </w:r>
      <w:r w:rsidR="00FE374F">
        <w:rPr>
          <w:sz w:val="22"/>
          <w:szCs w:val="22"/>
        </w:rPr>
        <w:t>:</w:t>
      </w:r>
    </w:p>
    <w:p w:rsidR="009E1645" w:rsidRDefault="00FE374F" w:rsidP="00FE374F">
      <w:pPr>
        <w:pStyle w:val="BodyTextIndent"/>
        <w:numPr>
          <w:ilvl w:val="0"/>
          <w:numId w:val="19"/>
        </w:numPr>
        <w:rPr>
          <w:sz w:val="22"/>
          <w:szCs w:val="22"/>
        </w:rPr>
      </w:pPr>
      <w:r>
        <w:rPr>
          <w:sz w:val="22"/>
          <w:szCs w:val="22"/>
        </w:rPr>
        <w:t>T</w:t>
      </w:r>
      <w:r w:rsidR="006C0DF6">
        <w:rPr>
          <w:sz w:val="22"/>
          <w:szCs w:val="22"/>
        </w:rPr>
        <w:t xml:space="preserve">o ensure that </w:t>
      </w:r>
      <w:r w:rsidR="00B12029">
        <w:rPr>
          <w:sz w:val="22"/>
          <w:szCs w:val="22"/>
        </w:rPr>
        <w:t>all programmes are designed with due consideration to market needs, curriculum strategic direction and foc</w:t>
      </w:r>
      <w:r>
        <w:rPr>
          <w:sz w:val="22"/>
          <w:szCs w:val="22"/>
        </w:rPr>
        <w:t>us, and appropriate benchmarks;</w:t>
      </w:r>
    </w:p>
    <w:p w:rsidR="00FE374F" w:rsidRDefault="00FE374F" w:rsidP="00FE374F">
      <w:pPr>
        <w:pStyle w:val="BodyTextIndent"/>
        <w:numPr>
          <w:ilvl w:val="0"/>
          <w:numId w:val="19"/>
        </w:numPr>
        <w:rPr>
          <w:sz w:val="22"/>
          <w:szCs w:val="22"/>
        </w:rPr>
      </w:pPr>
      <w:r>
        <w:rPr>
          <w:sz w:val="22"/>
          <w:szCs w:val="22"/>
        </w:rPr>
        <w:t>To ensure the currency and validity of programmes throughout their lifecycle;</w:t>
      </w:r>
    </w:p>
    <w:p w:rsidR="00FE374F" w:rsidRPr="005661EC" w:rsidRDefault="00FE374F" w:rsidP="00FE374F">
      <w:pPr>
        <w:pStyle w:val="BodyTextIndent"/>
        <w:numPr>
          <w:ilvl w:val="0"/>
          <w:numId w:val="19"/>
        </w:numPr>
        <w:rPr>
          <w:sz w:val="22"/>
          <w:szCs w:val="22"/>
        </w:rPr>
      </w:pPr>
      <w:r>
        <w:rPr>
          <w:sz w:val="22"/>
          <w:szCs w:val="22"/>
        </w:rPr>
        <w:t>To ensure regular and effective monitoring of quality, engaging all stakeholders.</w:t>
      </w:r>
    </w:p>
    <w:p w:rsidR="00FE374F" w:rsidRPr="00FE374F" w:rsidRDefault="00FE374F" w:rsidP="00B12029">
      <w:pPr>
        <w:rPr>
          <w:b/>
          <w:sz w:val="22"/>
          <w:szCs w:val="22"/>
        </w:rPr>
      </w:pPr>
      <w:r w:rsidRPr="00FE374F">
        <w:rPr>
          <w:b/>
          <w:sz w:val="22"/>
          <w:szCs w:val="22"/>
        </w:rPr>
        <w:t>Approval of Programmes</w:t>
      </w:r>
    </w:p>
    <w:p w:rsidR="00D70E88" w:rsidRDefault="00B12029" w:rsidP="00B12029">
      <w:pPr>
        <w:rPr>
          <w:sz w:val="22"/>
          <w:szCs w:val="22"/>
        </w:rPr>
      </w:pPr>
      <w:r>
        <w:rPr>
          <w:sz w:val="22"/>
          <w:szCs w:val="22"/>
        </w:rPr>
        <w:t xml:space="preserve">When designing new programmes or reviewing existing </w:t>
      </w:r>
      <w:r w:rsidR="00D70E88">
        <w:rPr>
          <w:sz w:val="22"/>
          <w:szCs w:val="22"/>
        </w:rPr>
        <w:t>programmes the College needs to:</w:t>
      </w:r>
    </w:p>
    <w:p w:rsidR="00D70E88" w:rsidRDefault="00D70E88" w:rsidP="00B12029">
      <w:pPr>
        <w:rPr>
          <w:sz w:val="22"/>
          <w:szCs w:val="22"/>
        </w:rPr>
      </w:pPr>
    </w:p>
    <w:p w:rsidR="00266369" w:rsidRPr="00D70E88" w:rsidRDefault="00D70E88" w:rsidP="00D70E88">
      <w:pPr>
        <w:pStyle w:val="ListParagraph"/>
        <w:numPr>
          <w:ilvl w:val="0"/>
          <w:numId w:val="16"/>
        </w:numPr>
        <w:rPr>
          <w:sz w:val="22"/>
          <w:szCs w:val="22"/>
        </w:rPr>
      </w:pPr>
      <w:r>
        <w:rPr>
          <w:sz w:val="22"/>
          <w:szCs w:val="22"/>
        </w:rPr>
        <w:t>E</w:t>
      </w:r>
      <w:r w:rsidR="00B12029" w:rsidRPr="00D70E88">
        <w:rPr>
          <w:sz w:val="22"/>
          <w:szCs w:val="22"/>
        </w:rPr>
        <w:t>nsure that the requirements of The Framework for Higher Education Qualifications in England, Wales and Northern Ireland are met by:</w:t>
      </w:r>
    </w:p>
    <w:p w:rsidR="00B12029" w:rsidRPr="00B12029" w:rsidRDefault="00B12029" w:rsidP="00B12029">
      <w:pPr>
        <w:rPr>
          <w:sz w:val="22"/>
          <w:szCs w:val="22"/>
        </w:rPr>
      </w:pPr>
    </w:p>
    <w:p w:rsidR="00266369" w:rsidRDefault="00B12029" w:rsidP="00266369">
      <w:pPr>
        <w:pStyle w:val="ListParagraph"/>
        <w:numPr>
          <w:ilvl w:val="0"/>
          <w:numId w:val="12"/>
        </w:numPr>
        <w:rPr>
          <w:sz w:val="22"/>
          <w:szCs w:val="22"/>
        </w:rPr>
      </w:pPr>
      <w:r>
        <w:rPr>
          <w:sz w:val="22"/>
          <w:szCs w:val="22"/>
        </w:rPr>
        <w:t>Positioning qualifications at the appropriate level of the relevant framework for higher education qualifications;</w:t>
      </w:r>
    </w:p>
    <w:p w:rsidR="00B12029" w:rsidRDefault="00B12029" w:rsidP="00266369">
      <w:pPr>
        <w:pStyle w:val="ListParagraph"/>
        <w:numPr>
          <w:ilvl w:val="0"/>
          <w:numId w:val="12"/>
        </w:numPr>
        <w:rPr>
          <w:sz w:val="22"/>
          <w:szCs w:val="22"/>
        </w:rPr>
      </w:pPr>
      <w:r>
        <w:rPr>
          <w:sz w:val="22"/>
          <w:szCs w:val="22"/>
        </w:rPr>
        <w:t>Ensuring that programme learning outcomes align with the relevant qualification descriptor in the relevant framework for higher education qualifications;</w:t>
      </w:r>
    </w:p>
    <w:p w:rsidR="00B12029" w:rsidRDefault="00B12029" w:rsidP="00266369">
      <w:pPr>
        <w:pStyle w:val="ListParagraph"/>
        <w:numPr>
          <w:ilvl w:val="0"/>
          <w:numId w:val="12"/>
        </w:numPr>
        <w:rPr>
          <w:sz w:val="22"/>
          <w:szCs w:val="22"/>
        </w:rPr>
      </w:pPr>
      <w:r>
        <w:rPr>
          <w:sz w:val="22"/>
          <w:szCs w:val="22"/>
        </w:rPr>
        <w:t xml:space="preserve">Naming qualifications in accordance with the titling conventions specified in the frameworks for higher education </w:t>
      </w:r>
    </w:p>
    <w:p w:rsidR="00D70E88" w:rsidRDefault="00D70E88" w:rsidP="00266369">
      <w:pPr>
        <w:pStyle w:val="ListParagraph"/>
        <w:numPr>
          <w:ilvl w:val="0"/>
          <w:numId w:val="12"/>
        </w:numPr>
        <w:rPr>
          <w:sz w:val="22"/>
          <w:szCs w:val="22"/>
        </w:rPr>
      </w:pPr>
      <w:r>
        <w:rPr>
          <w:sz w:val="22"/>
          <w:szCs w:val="22"/>
        </w:rPr>
        <w:t>Awarding qualifications to mark the achievement of positively defined programme learning outcomes.</w:t>
      </w:r>
    </w:p>
    <w:p w:rsidR="00D70E88" w:rsidRDefault="00D70E88" w:rsidP="00D70E88">
      <w:pPr>
        <w:pStyle w:val="ListParagraph"/>
        <w:ind w:left="840"/>
        <w:rPr>
          <w:sz w:val="22"/>
          <w:szCs w:val="22"/>
        </w:rPr>
      </w:pPr>
    </w:p>
    <w:p w:rsidR="00D70E88" w:rsidRDefault="00D70E88" w:rsidP="00D70E88">
      <w:pPr>
        <w:pStyle w:val="ListParagraph"/>
        <w:numPr>
          <w:ilvl w:val="0"/>
          <w:numId w:val="16"/>
        </w:numPr>
        <w:rPr>
          <w:sz w:val="22"/>
          <w:szCs w:val="22"/>
        </w:rPr>
      </w:pPr>
      <w:r>
        <w:rPr>
          <w:sz w:val="22"/>
          <w:szCs w:val="22"/>
        </w:rPr>
        <w:t>Consider and take account of QAA’s guidance on qualification characteristics</w:t>
      </w:r>
    </w:p>
    <w:p w:rsidR="00D70E88" w:rsidRDefault="00D70E88" w:rsidP="00D70E88">
      <w:pPr>
        <w:pStyle w:val="ListParagraph"/>
        <w:numPr>
          <w:ilvl w:val="0"/>
          <w:numId w:val="16"/>
        </w:numPr>
        <w:rPr>
          <w:sz w:val="22"/>
          <w:szCs w:val="22"/>
        </w:rPr>
      </w:pPr>
      <w:r>
        <w:rPr>
          <w:sz w:val="22"/>
          <w:szCs w:val="22"/>
        </w:rPr>
        <w:t>Assign credit values and design programmes that align with the specifications of the relevant national framework</w:t>
      </w:r>
    </w:p>
    <w:p w:rsidR="00D70E88" w:rsidRPr="00D70E88" w:rsidRDefault="00D70E88" w:rsidP="00D70E88">
      <w:pPr>
        <w:pStyle w:val="ListParagraph"/>
        <w:numPr>
          <w:ilvl w:val="0"/>
          <w:numId w:val="16"/>
        </w:numPr>
        <w:rPr>
          <w:sz w:val="22"/>
          <w:szCs w:val="22"/>
        </w:rPr>
      </w:pPr>
      <w:r>
        <w:rPr>
          <w:sz w:val="22"/>
          <w:szCs w:val="22"/>
        </w:rPr>
        <w:t>Consider and take account of the relevant Subject Benchmark Statements.</w:t>
      </w:r>
    </w:p>
    <w:p w:rsidR="00266369" w:rsidRPr="00266369" w:rsidRDefault="00266369" w:rsidP="00B12029">
      <w:pPr>
        <w:pStyle w:val="ListParagraph"/>
        <w:ind w:left="840"/>
        <w:rPr>
          <w:sz w:val="22"/>
          <w:szCs w:val="22"/>
        </w:rPr>
      </w:pPr>
    </w:p>
    <w:p w:rsidR="00266369" w:rsidRDefault="00D70E88" w:rsidP="00D70E88">
      <w:pPr>
        <w:ind w:left="480"/>
        <w:jc w:val="right"/>
        <w:rPr>
          <w:sz w:val="18"/>
          <w:szCs w:val="18"/>
        </w:rPr>
      </w:pPr>
      <w:r w:rsidRPr="00D70E88">
        <w:rPr>
          <w:sz w:val="18"/>
          <w:szCs w:val="18"/>
        </w:rPr>
        <w:t>(</w:t>
      </w:r>
      <w:proofErr w:type="gramStart"/>
      <w:r w:rsidRPr="00D70E88">
        <w:rPr>
          <w:sz w:val="18"/>
          <w:szCs w:val="18"/>
        </w:rPr>
        <w:t>taken</w:t>
      </w:r>
      <w:proofErr w:type="gramEnd"/>
      <w:r w:rsidRPr="00D70E88">
        <w:rPr>
          <w:sz w:val="18"/>
          <w:szCs w:val="18"/>
        </w:rPr>
        <w:t xml:space="preserve"> from the QAA Quality Code, Part A)</w:t>
      </w:r>
    </w:p>
    <w:p w:rsidR="00FE374F" w:rsidRDefault="00FE374F" w:rsidP="00D70E88">
      <w:pPr>
        <w:ind w:left="480"/>
        <w:jc w:val="right"/>
        <w:rPr>
          <w:sz w:val="18"/>
          <w:szCs w:val="18"/>
        </w:rPr>
      </w:pPr>
    </w:p>
    <w:p w:rsidR="00FE374F" w:rsidRDefault="00FE374F" w:rsidP="00FE374F">
      <w:pPr>
        <w:ind w:left="480"/>
        <w:rPr>
          <w:sz w:val="18"/>
          <w:szCs w:val="18"/>
        </w:rPr>
      </w:pPr>
    </w:p>
    <w:p w:rsidR="00FE374F" w:rsidRPr="00FE374F" w:rsidRDefault="00FE374F" w:rsidP="00FE374F">
      <w:pPr>
        <w:rPr>
          <w:b/>
          <w:sz w:val="22"/>
          <w:szCs w:val="22"/>
        </w:rPr>
      </w:pPr>
      <w:r w:rsidRPr="00FE374F">
        <w:rPr>
          <w:b/>
          <w:sz w:val="22"/>
          <w:szCs w:val="22"/>
        </w:rPr>
        <w:t>Monitoring &amp; Review</w:t>
      </w:r>
    </w:p>
    <w:p w:rsidR="00FE374F" w:rsidRPr="00AA0470" w:rsidRDefault="00FE374F" w:rsidP="00FE374F">
      <w:pPr>
        <w:rPr>
          <w:rFonts w:cs="Arial"/>
          <w:sz w:val="22"/>
          <w:szCs w:val="22"/>
        </w:rPr>
      </w:pPr>
      <w:r w:rsidRPr="00AA0470">
        <w:rPr>
          <w:rFonts w:cs="Arial"/>
          <w:sz w:val="22"/>
          <w:szCs w:val="22"/>
        </w:rPr>
        <w:t xml:space="preserve">Annual Monitoring and Review is a process whereby the Academic Board can be assured that the College is discharging its responsibilities for the assurance of quality and standards of its HE provision. </w:t>
      </w:r>
    </w:p>
    <w:p w:rsidR="00266369" w:rsidRPr="00266369" w:rsidRDefault="00266369" w:rsidP="00266369">
      <w:pPr>
        <w:rPr>
          <w:sz w:val="22"/>
          <w:szCs w:val="22"/>
        </w:rPr>
      </w:pPr>
    </w:p>
    <w:p w:rsidR="00430E63" w:rsidRPr="00D70E88" w:rsidRDefault="00430E63" w:rsidP="00A53D95">
      <w:pPr>
        <w:spacing w:after="240"/>
        <w:ind w:left="720"/>
        <w:rPr>
          <w:rFonts w:cs="Arial"/>
          <w:i/>
          <w:sz w:val="22"/>
          <w:szCs w:val="22"/>
        </w:rPr>
      </w:pPr>
    </w:p>
    <w:p w:rsidR="003129CD" w:rsidRPr="005661EC" w:rsidRDefault="003129CD" w:rsidP="00430E63">
      <w:pPr>
        <w:pStyle w:val="BodyTextIndent2"/>
        <w:ind w:left="0"/>
        <w:rPr>
          <w:sz w:val="22"/>
          <w:szCs w:val="22"/>
        </w:rPr>
        <w:sectPr w:rsidR="003129CD" w:rsidRPr="005661EC">
          <w:footerReference w:type="default" r:id="rId8"/>
          <w:pgSz w:w="11906" w:h="16838"/>
          <w:pgMar w:top="1440" w:right="1800" w:bottom="1440" w:left="1800" w:header="708" w:footer="708"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5522"/>
        <w:gridCol w:w="1982"/>
      </w:tblGrid>
      <w:tr w:rsidR="009E1645" w:rsidRPr="005661EC">
        <w:trPr>
          <w:tblHeader/>
        </w:trPr>
        <w:tc>
          <w:tcPr>
            <w:tcW w:w="1728" w:type="dxa"/>
          </w:tcPr>
          <w:p w:rsidR="009E1645" w:rsidRPr="005661EC" w:rsidRDefault="009E1645">
            <w:pPr>
              <w:pStyle w:val="BodyTextIndent2"/>
              <w:ind w:left="0"/>
              <w:rPr>
                <w:b/>
                <w:bCs/>
                <w:sz w:val="22"/>
                <w:szCs w:val="22"/>
              </w:rPr>
            </w:pPr>
            <w:r w:rsidRPr="005661EC">
              <w:rPr>
                <w:b/>
                <w:bCs/>
                <w:sz w:val="22"/>
                <w:szCs w:val="22"/>
              </w:rPr>
              <w:lastRenderedPageBreak/>
              <w:t>Policy</w:t>
            </w:r>
          </w:p>
        </w:tc>
        <w:tc>
          <w:tcPr>
            <w:tcW w:w="5600" w:type="dxa"/>
          </w:tcPr>
          <w:p w:rsidR="009E1645" w:rsidRPr="005661EC" w:rsidRDefault="0019061E" w:rsidP="00D70E88">
            <w:pPr>
              <w:pStyle w:val="BodyTextIndent2"/>
              <w:ind w:left="0"/>
              <w:rPr>
                <w:b/>
                <w:bCs/>
                <w:sz w:val="22"/>
                <w:szCs w:val="22"/>
              </w:rPr>
            </w:pPr>
            <w:r w:rsidRPr="005661EC">
              <w:rPr>
                <w:b/>
                <w:bCs/>
                <w:sz w:val="22"/>
                <w:szCs w:val="22"/>
              </w:rPr>
              <w:t xml:space="preserve">Higher Education </w:t>
            </w:r>
            <w:r w:rsidR="00D70E88">
              <w:rPr>
                <w:b/>
                <w:bCs/>
                <w:sz w:val="22"/>
                <w:szCs w:val="22"/>
              </w:rPr>
              <w:t>Approval and Review of Programmes</w:t>
            </w:r>
            <w:r w:rsidR="00430E63" w:rsidRPr="005661EC">
              <w:rPr>
                <w:b/>
                <w:bCs/>
                <w:sz w:val="22"/>
                <w:szCs w:val="22"/>
              </w:rPr>
              <w:t xml:space="preserve"> </w:t>
            </w:r>
          </w:p>
        </w:tc>
        <w:tc>
          <w:tcPr>
            <w:tcW w:w="1994" w:type="dxa"/>
          </w:tcPr>
          <w:p w:rsidR="009E1645" w:rsidRPr="005661EC" w:rsidRDefault="00F67CBE">
            <w:pPr>
              <w:pStyle w:val="BodyTextIndent2"/>
              <w:ind w:left="0"/>
              <w:rPr>
                <w:b/>
                <w:bCs/>
                <w:sz w:val="22"/>
                <w:szCs w:val="22"/>
              </w:rPr>
            </w:pPr>
            <w:r>
              <w:rPr>
                <w:b/>
                <w:bCs/>
                <w:sz w:val="22"/>
                <w:szCs w:val="22"/>
              </w:rPr>
              <w:t>Quality Code Ref</w:t>
            </w:r>
          </w:p>
        </w:tc>
      </w:tr>
      <w:tr w:rsidR="009E1645" w:rsidRPr="005661EC">
        <w:tc>
          <w:tcPr>
            <w:tcW w:w="1728" w:type="dxa"/>
          </w:tcPr>
          <w:p w:rsidR="009E1645" w:rsidRPr="005661EC" w:rsidRDefault="009E1645">
            <w:pPr>
              <w:pStyle w:val="BodyTextIndent2"/>
              <w:ind w:left="0"/>
              <w:rPr>
                <w:b/>
                <w:bCs/>
                <w:sz w:val="22"/>
                <w:szCs w:val="22"/>
              </w:rPr>
            </w:pPr>
            <w:r w:rsidRPr="005661EC">
              <w:rPr>
                <w:b/>
                <w:bCs/>
                <w:sz w:val="22"/>
                <w:szCs w:val="22"/>
              </w:rPr>
              <w:t>Principles</w:t>
            </w:r>
          </w:p>
        </w:tc>
        <w:tc>
          <w:tcPr>
            <w:tcW w:w="5600" w:type="dxa"/>
          </w:tcPr>
          <w:p w:rsidR="00175C66" w:rsidRDefault="00175C66" w:rsidP="00175C66">
            <w:pPr>
              <w:pStyle w:val="Default"/>
              <w:ind w:left="720"/>
              <w:rPr>
                <w:rFonts w:ascii="Arial" w:hAnsi="Arial" w:cs="Arial"/>
                <w:sz w:val="22"/>
                <w:szCs w:val="22"/>
              </w:rPr>
            </w:pPr>
          </w:p>
          <w:p w:rsidR="00266369" w:rsidRDefault="00266369" w:rsidP="00266369">
            <w:pPr>
              <w:pStyle w:val="Default"/>
              <w:numPr>
                <w:ilvl w:val="0"/>
                <w:numId w:val="13"/>
              </w:numPr>
              <w:rPr>
                <w:rFonts w:ascii="Arial" w:hAnsi="Arial" w:cs="Arial"/>
                <w:sz w:val="22"/>
                <w:szCs w:val="22"/>
              </w:rPr>
            </w:pPr>
            <w:r w:rsidRPr="00266369">
              <w:rPr>
                <w:rFonts w:ascii="Arial" w:hAnsi="Arial" w:cs="Arial"/>
                <w:sz w:val="22"/>
                <w:szCs w:val="22"/>
              </w:rPr>
              <w:t xml:space="preserve">The College </w:t>
            </w:r>
            <w:r w:rsidR="00D70E88">
              <w:rPr>
                <w:rFonts w:ascii="Arial" w:hAnsi="Arial" w:cs="Arial"/>
                <w:sz w:val="22"/>
                <w:szCs w:val="22"/>
              </w:rPr>
              <w:t>assures itself that there is a prima facie academic and appropriate business case, to support the development of proposed programmes.</w:t>
            </w:r>
          </w:p>
          <w:p w:rsidR="00266369" w:rsidRDefault="00266369" w:rsidP="00266369">
            <w:pPr>
              <w:pStyle w:val="Default"/>
              <w:ind w:left="720"/>
              <w:rPr>
                <w:rFonts w:ascii="Arial" w:hAnsi="Arial" w:cs="Arial"/>
                <w:sz w:val="22"/>
                <w:szCs w:val="22"/>
              </w:rPr>
            </w:pPr>
          </w:p>
          <w:p w:rsidR="00266369" w:rsidRDefault="00266369" w:rsidP="00266369">
            <w:pPr>
              <w:pStyle w:val="Default"/>
              <w:numPr>
                <w:ilvl w:val="0"/>
                <w:numId w:val="13"/>
              </w:numPr>
              <w:rPr>
                <w:rFonts w:ascii="Arial" w:hAnsi="Arial" w:cs="Arial"/>
                <w:sz w:val="22"/>
                <w:szCs w:val="22"/>
              </w:rPr>
            </w:pPr>
            <w:r w:rsidRPr="00266369">
              <w:rPr>
                <w:rFonts w:ascii="Arial" w:hAnsi="Arial" w:cs="Arial"/>
                <w:sz w:val="22"/>
                <w:szCs w:val="22"/>
              </w:rPr>
              <w:t xml:space="preserve">The </w:t>
            </w:r>
            <w:r w:rsidR="00D70E88">
              <w:rPr>
                <w:rFonts w:ascii="Arial" w:hAnsi="Arial" w:cs="Arial"/>
                <w:sz w:val="22"/>
                <w:szCs w:val="22"/>
              </w:rPr>
              <w:t>College assures itself that proposed programme developments align with the HE Strategic Plan.</w:t>
            </w:r>
          </w:p>
          <w:p w:rsidR="00266369" w:rsidRDefault="00266369" w:rsidP="00266369">
            <w:pPr>
              <w:pStyle w:val="ListParagraph"/>
              <w:rPr>
                <w:rFonts w:cs="Arial"/>
                <w:sz w:val="22"/>
                <w:szCs w:val="22"/>
              </w:rPr>
            </w:pPr>
          </w:p>
          <w:p w:rsidR="00266369" w:rsidRDefault="00D70E88" w:rsidP="00266369">
            <w:pPr>
              <w:pStyle w:val="Default"/>
              <w:numPr>
                <w:ilvl w:val="0"/>
                <w:numId w:val="13"/>
              </w:numPr>
              <w:rPr>
                <w:rFonts w:ascii="Arial" w:hAnsi="Arial" w:cs="Arial"/>
                <w:sz w:val="22"/>
                <w:szCs w:val="22"/>
              </w:rPr>
            </w:pPr>
            <w:r>
              <w:rPr>
                <w:rFonts w:ascii="Arial" w:hAnsi="Arial" w:cs="Arial"/>
                <w:sz w:val="22"/>
                <w:szCs w:val="22"/>
              </w:rPr>
              <w:t>The College assures itself that all resource needs have been taken into consideration and that there is support from the relevant department to meet these needs.</w:t>
            </w:r>
          </w:p>
          <w:p w:rsidR="00266369" w:rsidRDefault="00266369" w:rsidP="00266369">
            <w:pPr>
              <w:pStyle w:val="ListParagraph"/>
              <w:rPr>
                <w:rFonts w:cs="Arial"/>
                <w:sz w:val="22"/>
                <w:szCs w:val="22"/>
              </w:rPr>
            </w:pPr>
          </w:p>
          <w:p w:rsidR="00266369" w:rsidRDefault="00D70E88" w:rsidP="00266369">
            <w:pPr>
              <w:pStyle w:val="Default"/>
              <w:numPr>
                <w:ilvl w:val="0"/>
                <w:numId w:val="13"/>
              </w:numPr>
              <w:rPr>
                <w:rFonts w:ascii="Arial" w:hAnsi="Arial" w:cs="Arial"/>
                <w:sz w:val="22"/>
                <w:szCs w:val="22"/>
              </w:rPr>
            </w:pPr>
            <w:r>
              <w:rPr>
                <w:rFonts w:ascii="Arial" w:hAnsi="Arial" w:cs="Arial"/>
                <w:sz w:val="22"/>
                <w:szCs w:val="22"/>
              </w:rPr>
              <w:t xml:space="preserve">The College assures itself that relevant stakeholders have been consulted in the development of proposed programmes. </w:t>
            </w:r>
          </w:p>
          <w:p w:rsidR="00266369" w:rsidRDefault="00266369" w:rsidP="00266369">
            <w:pPr>
              <w:pStyle w:val="ListParagraph"/>
              <w:rPr>
                <w:rFonts w:cs="Arial"/>
                <w:sz w:val="22"/>
                <w:szCs w:val="22"/>
              </w:rPr>
            </w:pPr>
          </w:p>
          <w:p w:rsidR="00266369" w:rsidRDefault="00D70E88" w:rsidP="00266369">
            <w:pPr>
              <w:pStyle w:val="Default"/>
              <w:numPr>
                <w:ilvl w:val="0"/>
                <w:numId w:val="13"/>
              </w:numPr>
              <w:rPr>
                <w:rFonts w:ascii="Arial" w:hAnsi="Arial" w:cs="Arial"/>
                <w:sz w:val="22"/>
                <w:szCs w:val="22"/>
              </w:rPr>
            </w:pPr>
            <w:r>
              <w:rPr>
                <w:rFonts w:ascii="Arial" w:hAnsi="Arial" w:cs="Arial"/>
                <w:sz w:val="22"/>
                <w:szCs w:val="22"/>
              </w:rPr>
              <w:t>The College assures itself that relevant benchmarks have been used in the development of the proposed programmes.</w:t>
            </w:r>
          </w:p>
          <w:p w:rsidR="00266369" w:rsidRDefault="00266369" w:rsidP="00266369">
            <w:pPr>
              <w:pStyle w:val="ListParagraph"/>
              <w:rPr>
                <w:rFonts w:cs="Arial"/>
                <w:sz w:val="22"/>
                <w:szCs w:val="22"/>
              </w:rPr>
            </w:pPr>
          </w:p>
          <w:p w:rsidR="00266369" w:rsidRDefault="00D70E88" w:rsidP="00266369">
            <w:pPr>
              <w:pStyle w:val="Default"/>
              <w:numPr>
                <w:ilvl w:val="0"/>
                <w:numId w:val="13"/>
              </w:numPr>
              <w:rPr>
                <w:rFonts w:ascii="Arial" w:hAnsi="Arial" w:cs="Arial"/>
                <w:sz w:val="22"/>
                <w:szCs w:val="22"/>
              </w:rPr>
            </w:pPr>
            <w:r>
              <w:rPr>
                <w:rFonts w:ascii="Arial" w:hAnsi="Arial" w:cs="Arial"/>
                <w:sz w:val="22"/>
                <w:szCs w:val="22"/>
              </w:rPr>
              <w:t>The College assures itself that programme design is fit for purpose and will facilitate effective educational outcomes for students.</w:t>
            </w:r>
          </w:p>
          <w:p w:rsidR="00175C66" w:rsidRDefault="00175C66" w:rsidP="00175C66">
            <w:pPr>
              <w:pStyle w:val="ListParagraph"/>
              <w:rPr>
                <w:rFonts w:cs="Arial"/>
                <w:sz w:val="22"/>
                <w:szCs w:val="22"/>
              </w:rPr>
            </w:pPr>
          </w:p>
          <w:p w:rsidR="004B39B4" w:rsidRPr="004B39B4" w:rsidRDefault="004B39B4" w:rsidP="00D70E88">
            <w:pPr>
              <w:pStyle w:val="Default"/>
              <w:rPr>
                <w:sz w:val="22"/>
                <w:szCs w:val="22"/>
              </w:rPr>
            </w:pPr>
          </w:p>
        </w:tc>
        <w:tc>
          <w:tcPr>
            <w:tcW w:w="1994" w:type="dxa"/>
          </w:tcPr>
          <w:p w:rsidR="00FD0EE7" w:rsidRDefault="004C31AD">
            <w:pPr>
              <w:pStyle w:val="BodyTextIndent2"/>
              <w:ind w:left="0"/>
              <w:rPr>
                <w:sz w:val="22"/>
                <w:szCs w:val="22"/>
              </w:rPr>
            </w:pPr>
            <w:r>
              <w:rPr>
                <w:sz w:val="22"/>
                <w:szCs w:val="22"/>
              </w:rPr>
              <w:t>Course Design and Development</w:t>
            </w:r>
          </w:p>
          <w:p w:rsidR="004C31AD" w:rsidRDefault="004C31AD">
            <w:pPr>
              <w:pStyle w:val="BodyTextIndent2"/>
              <w:ind w:left="0"/>
              <w:rPr>
                <w:sz w:val="22"/>
                <w:szCs w:val="22"/>
              </w:rPr>
            </w:pPr>
            <w:r>
              <w:rPr>
                <w:sz w:val="22"/>
                <w:szCs w:val="22"/>
              </w:rPr>
              <w:t>Expectations for Standards 1&amp;2</w:t>
            </w:r>
          </w:p>
          <w:p w:rsidR="004C31AD" w:rsidRDefault="004C31AD">
            <w:pPr>
              <w:pStyle w:val="BodyTextIndent2"/>
              <w:ind w:left="0"/>
              <w:rPr>
                <w:sz w:val="22"/>
                <w:szCs w:val="22"/>
              </w:rPr>
            </w:pPr>
            <w:r>
              <w:rPr>
                <w:sz w:val="22"/>
                <w:szCs w:val="22"/>
              </w:rPr>
              <w:t>Core Practices 1, 2, 3</w:t>
            </w:r>
          </w:p>
          <w:p w:rsidR="004C31AD" w:rsidRDefault="004C31AD">
            <w:pPr>
              <w:pStyle w:val="BodyTextIndent2"/>
              <w:ind w:left="0"/>
              <w:rPr>
                <w:sz w:val="22"/>
                <w:szCs w:val="22"/>
              </w:rPr>
            </w:pPr>
            <w:r>
              <w:rPr>
                <w:sz w:val="22"/>
                <w:szCs w:val="22"/>
              </w:rPr>
              <w:t>Expectations for Quality</w:t>
            </w:r>
          </w:p>
          <w:p w:rsidR="004C31AD" w:rsidRDefault="004C31AD">
            <w:pPr>
              <w:pStyle w:val="BodyTextIndent2"/>
              <w:ind w:left="0"/>
              <w:rPr>
                <w:sz w:val="22"/>
                <w:szCs w:val="22"/>
              </w:rPr>
            </w:pPr>
            <w:r>
              <w:rPr>
                <w:sz w:val="22"/>
                <w:szCs w:val="22"/>
              </w:rPr>
              <w:t>Core Practices 1, 2, 3</w:t>
            </w:r>
          </w:p>
          <w:p w:rsidR="004C31AD" w:rsidRPr="005661EC" w:rsidRDefault="004C31AD">
            <w:pPr>
              <w:pStyle w:val="BodyTextIndent2"/>
              <w:ind w:left="0"/>
              <w:rPr>
                <w:sz w:val="22"/>
                <w:szCs w:val="22"/>
              </w:rPr>
            </w:pPr>
          </w:p>
        </w:tc>
      </w:tr>
      <w:tr w:rsidR="009E1645" w:rsidRPr="005661EC">
        <w:tc>
          <w:tcPr>
            <w:tcW w:w="1728" w:type="dxa"/>
          </w:tcPr>
          <w:p w:rsidR="009E1645" w:rsidRPr="005661EC" w:rsidRDefault="00FD0EE7" w:rsidP="00175C66">
            <w:pPr>
              <w:pStyle w:val="BodyTextIndent2"/>
              <w:ind w:left="0"/>
              <w:rPr>
                <w:b/>
                <w:bCs/>
                <w:sz w:val="22"/>
                <w:szCs w:val="22"/>
              </w:rPr>
            </w:pPr>
            <w:r>
              <w:rPr>
                <w:b/>
                <w:bCs/>
                <w:sz w:val="22"/>
                <w:szCs w:val="22"/>
              </w:rPr>
              <w:t>Validation Process</w:t>
            </w:r>
          </w:p>
        </w:tc>
        <w:tc>
          <w:tcPr>
            <w:tcW w:w="5600" w:type="dxa"/>
          </w:tcPr>
          <w:p w:rsidR="003129CD" w:rsidRDefault="00E911F6" w:rsidP="00E911F6">
            <w:pPr>
              <w:pStyle w:val="ISEDbodytext"/>
              <w:rPr>
                <w:rFonts w:cs="Arial"/>
                <w:color w:val="auto"/>
                <w:szCs w:val="22"/>
              </w:rPr>
            </w:pPr>
            <w:r>
              <w:rPr>
                <w:rFonts w:cs="Arial"/>
                <w:color w:val="auto"/>
                <w:szCs w:val="22"/>
              </w:rPr>
              <w:t xml:space="preserve">There are </w:t>
            </w:r>
            <w:r w:rsidR="0048613A">
              <w:rPr>
                <w:rFonts w:cs="Arial"/>
                <w:color w:val="auto"/>
                <w:szCs w:val="22"/>
              </w:rPr>
              <w:t>four</w:t>
            </w:r>
            <w:r>
              <w:rPr>
                <w:rFonts w:cs="Arial"/>
                <w:color w:val="auto"/>
                <w:szCs w:val="22"/>
              </w:rPr>
              <w:t xml:space="preserve"> formal stages in granting new Foundation Degree programmes:</w:t>
            </w:r>
          </w:p>
          <w:p w:rsidR="00E911F6" w:rsidRDefault="00E911F6" w:rsidP="00E911F6">
            <w:pPr>
              <w:pStyle w:val="ISEDbodytext"/>
              <w:numPr>
                <w:ilvl w:val="0"/>
                <w:numId w:val="17"/>
              </w:numPr>
              <w:rPr>
                <w:color w:val="auto"/>
                <w:szCs w:val="22"/>
              </w:rPr>
            </w:pPr>
            <w:r>
              <w:rPr>
                <w:color w:val="auto"/>
                <w:szCs w:val="22"/>
              </w:rPr>
              <w:t xml:space="preserve">Stage 1 : Strategic Planning Approval </w:t>
            </w:r>
          </w:p>
          <w:p w:rsidR="0048613A" w:rsidRDefault="0048613A" w:rsidP="00E911F6">
            <w:pPr>
              <w:pStyle w:val="ISEDbodytext"/>
              <w:numPr>
                <w:ilvl w:val="0"/>
                <w:numId w:val="17"/>
              </w:numPr>
              <w:rPr>
                <w:color w:val="auto"/>
                <w:szCs w:val="22"/>
              </w:rPr>
            </w:pPr>
            <w:r>
              <w:rPr>
                <w:color w:val="auto"/>
                <w:szCs w:val="22"/>
              </w:rPr>
              <w:t>Stage 2 : Informal Critical Read</w:t>
            </w:r>
          </w:p>
          <w:p w:rsidR="00E911F6" w:rsidRDefault="0048613A" w:rsidP="00E911F6">
            <w:pPr>
              <w:pStyle w:val="ISEDbodytext"/>
              <w:numPr>
                <w:ilvl w:val="0"/>
                <w:numId w:val="17"/>
              </w:numPr>
              <w:rPr>
                <w:color w:val="auto"/>
                <w:szCs w:val="22"/>
              </w:rPr>
            </w:pPr>
            <w:r>
              <w:rPr>
                <w:color w:val="auto"/>
                <w:szCs w:val="22"/>
              </w:rPr>
              <w:t>Stage 3</w:t>
            </w:r>
            <w:r w:rsidR="00E911F6">
              <w:rPr>
                <w:color w:val="auto"/>
                <w:szCs w:val="22"/>
              </w:rPr>
              <w:t xml:space="preserve"> : </w:t>
            </w:r>
            <w:r w:rsidR="00784274">
              <w:rPr>
                <w:color w:val="auto"/>
                <w:szCs w:val="22"/>
              </w:rPr>
              <w:t>Critical Review</w:t>
            </w:r>
          </w:p>
          <w:p w:rsidR="00E911F6" w:rsidRDefault="0048613A" w:rsidP="00E911F6">
            <w:pPr>
              <w:pStyle w:val="ISEDbodytext"/>
              <w:numPr>
                <w:ilvl w:val="0"/>
                <w:numId w:val="17"/>
              </w:numPr>
              <w:rPr>
                <w:color w:val="auto"/>
                <w:szCs w:val="22"/>
              </w:rPr>
            </w:pPr>
            <w:r>
              <w:rPr>
                <w:color w:val="auto"/>
                <w:szCs w:val="22"/>
              </w:rPr>
              <w:t>Stage 4</w:t>
            </w:r>
            <w:r w:rsidR="00E911F6">
              <w:rPr>
                <w:color w:val="auto"/>
                <w:szCs w:val="22"/>
              </w:rPr>
              <w:t xml:space="preserve"> : </w:t>
            </w:r>
            <w:r w:rsidR="00FD0EE7">
              <w:rPr>
                <w:color w:val="auto"/>
                <w:szCs w:val="22"/>
              </w:rPr>
              <w:t>Full Approval</w:t>
            </w:r>
          </w:p>
          <w:p w:rsidR="00FD0EE7" w:rsidRPr="005661EC" w:rsidRDefault="00FD0EE7" w:rsidP="00FD0EE7">
            <w:pPr>
              <w:pStyle w:val="ISEDbodytext"/>
              <w:rPr>
                <w:color w:val="auto"/>
                <w:szCs w:val="22"/>
              </w:rPr>
            </w:pPr>
            <w:r>
              <w:rPr>
                <w:color w:val="auto"/>
                <w:szCs w:val="22"/>
              </w:rPr>
              <w:t>For full details on each of these stages and associated documentation please ref</w:t>
            </w:r>
            <w:r w:rsidR="00470015">
              <w:rPr>
                <w:color w:val="auto"/>
                <w:szCs w:val="22"/>
              </w:rPr>
              <w:t>er to the Programme Approval,</w:t>
            </w:r>
            <w:r>
              <w:rPr>
                <w:color w:val="auto"/>
                <w:szCs w:val="22"/>
              </w:rPr>
              <w:t xml:space="preserve"> Review</w:t>
            </w:r>
            <w:r w:rsidR="00470015">
              <w:rPr>
                <w:color w:val="auto"/>
                <w:szCs w:val="22"/>
              </w:rPr>
              <w:t xml:space="preserve"> and Modification</w:t>
            </w:r>
            <w:r>
              <w:rPr>
                <w:color w:val="auto"/>
                <w:szCs w:val="22"/>
              </w:rPr>
              <w:t xml:space="preserve"> Handbook</w:t>
            </w:r>
          </w:p>
        </w:tc>
        <w:tc>
          <w:tcPr>
            <w:tcW w:w="1994" w:type="dxa"/>
          </w:tcPr>
          <w:p w:rsidR="00FD0EE7" w:rsidRPr="005661EC" w:rsidRDefault="00954640">
            <w:pPr>
              <w:pStyle w:val="BodyTextIndent2"/>
              <w:ind w:left="0"/>
              <w:rPr>
                <w:sz w:val="22"/>
                <w:szCs w:val="22"/>
              </w:rPr>
            </w:pPr>
            <w:r>
              <w:rPr>
                <w:sz w:val="22"/>
                <w:szCs w:val="22"/>
              </w:rPr>
              <w:t>Guiding Principles 1, 2, 3, 4, 5, 6, 7</w:t>
            </w:r>
          </w:p>
        </w:tc>
      </w:tr>
      <w:tr w:rsidR="0012060E" w:rsidRPr="005661EC">
        <w:tc>
          <w:tcPr>
            <w:tcW w:w="1728" w:type="dxa"/>
          </w:tcPr>
          <w:p w:rsidR="0012060E" w:rsidRPr="005661EC" w:rsidRDefault="00FD0EE7" w:rsidP="00FD0EE7">
            <w:pPr>
              <w:pStyle w:val="BodyTextIndent2"/>
              <w:ind w:left="0"/>
              <w:rPr>
                <w:b/>
                <w:bCs/>
                <w:sz w:val="22"/>
                <w:szCs w:val="22"/>
              </w:rPr>
            </w:pPr>
            <w:r>
              <w:rPr>
                <w:b/>
                <w:bCs/>
                <w:sz w:val="22"/>
                <w:szCs w:val="22"/>
              </w:rPr>
              <w:t>Periodic Review and Major Modification Process</w:t>
            </w:r>
          </w:p>
        </w:tc>
        <w:tc>
          <w:tcPr>
            <w:tcW w:w="5600" w:type="dxa"/>
          </w:tcPr>
          <w:p w:rsidR="00F87971" w:rsidRDefault="00FD0EE7" w:rsidP="00FD0EE7">
            <w:pPr>
              <w:pStyle w:val="ISEDbodytext"/>
              <w:rPr>
                <w:rFonts w:cs="Arial"/>
                <w:color w:val="auto"/>
                <w:szCs w:val="22"/>
              </w:rPr>
            </w:pPr>
            <w:r>
              <w:rPr>
                <w:rFonts w:cs="Arial"/>
                <w:color w:val="auto"/>
                <w:szCs w:val="22"/>
              </w:rPr>
              <w:t xml:space="preserve">All programmes will be subject to Periodic Review </w:t>
            </w:r>
            <w:r w:rsidRPr="00851E47">
              <w:rPr>
                <w:rFonts w:cs="Arial"/>
                <w:color w:val="auto"/>
                <w:szCs w:val="22"/>
              </w:rPr>
              <w:t xml:space="preserve">every </w:t>
            </w:r>
            <w:r w:rsidR="00C90B15" w:rsidRPr="00851E47">
              <w:rPr>
                <w:rFonts w:cs="Arial"/>
                <w:color w:val="auto"/>
                <w:szCs w:val="22"/>
              </w:rPr>
              <w:t xml:space="preserve">5 </w:t>
            </w:r>
            <w:r w:rsidRPr="00851E47">
              <w:rPr>
                <w:rFonts w:cs="Arial"/>
                <w:color w:val="auto"/>
                <w:szCs w:val="22"/>
              </w:rPr>
              <w:t>y</w:t>
            </w:r>
            <w:r>
              <w:rPr>
                <w:rFonts w:cs="Arial"/>
                <w:color w:val="auto"/>
                <w:szCs w:val="22"/>
              </w:rPr>
              <w:t>ears.  This will be a 2 stage process as follows:</w:t>
            </w:r>
          </w:p>
          <w:p w:rsidR="00FD0EE7" w:rsidRDefault="00FD0EE7" w:rsidP="00FD0EE7">
            <w:pPr>
              <w:pStyle w:val="ISEDbodytext"/>
              <w:numPr>
                <w:ilvl w:val="0"/>
                <w:numId w:val="18"/>
              </w:numPr>
              <w:rPr>
                <w:rFonts w:cs="Arial"/>
                <w:color w:val="auto"/>
                <w:szCs w:val="22"/>
              </w:rPr>
            </w:pPr>
            <w:r>
              <w:rPr>
                <w:rFonts w:cs="Arial"/>
                <w:color w:val="auto"/>
                <w:szCs w:val="22"/>
              </w:rPr>
              <w:t>Stage 1 : Informal Review</w:t>
            </w:r>
          </w:p>
          <w:p w:rsidR="00FD0EE7" w:rsidRDefault="00FD0EE7" w:rsidP="00FD0EE7">
            <w:pPr>
              <w:pStyle w:val="ISEDbodytext"/>
              <w:numPr>
                <w:ilvl w:val="0"/>
                <w:numId w:val="18"/>
              </w:numPr>
              <w:rPr>
                <w:rFonts w:cs="Arial"/>
                <w:color w:val="auto"/>
                <w:szCs w:val="22"/>
              </w:rPr>
            </w:pPr>
            <w:r>
              <w:rPr>
                <w:rFonts w:cs="Arial"/>
                <w:color w:val="auto"/>
                <w:szCs w:val="22"/>
              </w:rPr>
              <w:t>Stage 2 : Formal Review and Approval</w:t>
            </w:r>
          </w:p>
          <w:p w:rsidR="00FD0EE7" w:rsidRPr="00175C66" w:rsidRDefault="00FD0EE7" w:rsidP="00470015">
            <w:pPr>
              <w:pStyle w:val="ISEDbodytext"/>
              <w:rPr>
                <w:rFonts w:cs="Arial"/>
                <w:color w:val="auto"/>
                <w:szCs w:val="22"/>
              </w:rPr>
            </w:pPr>
            <w:r>
              <w:rPr>
                <w:color w:val="auto"/>
                <w:szCs w:val="22"/>
              </w:rPr>
              <w:t xml:space="preserve">For full details on each of these stages and associated documentation please </w:t>
            </w:r>
            <w:r w:rsidR="00470015">
              <w:rPr>
                <w:color w:val="auto"/>
                <w:szCs w:val="22"/>
              </w:rPr>
              <w:t xml:space="preserve">refer to the Programme Approval, </w:t>
            </w:r>
            <w:r>
              <w:rPr>
                <w:color w:val="auto"/>
                <w:szCs w:val="22"/>
              </w:rPr>
              <w:t>Review</w:t>
            </w:r>
            <w:r w:rsidR="00470015">
              <w:rPr>
                <w:color w:val="auto"/>
                <w:szCs w:val="22"/>
              </w:rPr>
              <w:t xml:space="preserve"> and Modification</w:t>
            </w:r>
            <w:r>
              <w:rPr>
                <w:color w:val="auto"/>
                <w:szCs w:val="22"/>
              </w:rPr>
              <w:t xml:space="preserve"> Handbook</w:t>
            </w:r>
          </w:p>
        </w:tc>
        <w:tc>
          <w:tcPr>
            <w:tcW w:w="1994" w:type="dxa"/>
          </w:tcPr>
          <w:p w:rsidR="00470015" w:rsidRPr="005661EC" w:rsidRDefault="00954640">
            <w:pPr>
              <w:pStyle w:val="BodyTextIndent2"/>
              <w:ind w:left="0"/>
              <w:rPr>
                <w:sz w:val="22"/>
                <w:szCs w:val="22"/>
              </w:rPr>
            </w:pPr>
            <w:r>
              <w:rPr>
                <w:sz w:val="22"/>
                <w:szCs w:val="22"/>
              </w:rPr>
              <w:t>Guiding Principles 1, 2, 3, 4, 5, 6, 7</w:t>
            </w:r>
          </w:p>
        </w:tc>
      </w:tr>
      <w:tr w:rsidR="00470015" w:rsidRPr="005661EC">
        <w:tc>
          <w:tcPr>
            <w:tcW w:w="1728" w:type="dxa"/>
          </w:tcPr>
          <w:p w:rsidR="00470015" w:rsidRPr="005661EC" w:rsidRDefault="00470015" w:rsidP="00FE374F">
            <w:pPr>
              <w:pStyle w:val="BodyTextIndent2"/>
              <w:ind w:left="0"/>
              <w:rPr>
                <w:b/>
                <w:bCs/>
                <w:sz w:val="22"/>
                <w:szCs w:val="22"/>
              </w:rPr>
            </w:pPr>
            <w:r>
              <w:rPr>
                <w:b/>
                <w:bCs/>
                <w:sz w:val="22"/>
                <w:szCs w:val="22"/>
              </w:rPr>
              <w:t>Minor Modification Process</w:t>
            </w:r>
          </w:p>
        </w:tc>
        <w:tc>
          <w:tcPr>
            <w:tcW w:w="5600" w:type="dxa"/>
          </w:tcPr>
          <w:p w:rsidR="00470015" w:rsidRDefault="00470015" w:rsidP="00470015">
            <w:pPr>
              <w:pStyle w:val="ISEDbodytext"/>
              <w:rPr>
                <w:rFonts w:cs="Arial"/>
                <w:color w:val="auto"/>
                <w:szCs w:val="22"/>
              </w:rPr>
            </w:pPr>
            <w:r>
              <w:rPr>
                <w:rFonts w:cs="Arial"/>
                <w:color w:val="auto"/>
                <w:szCs w:val="22"/>
              </w:rPr>
              <w:t>Programme Modifications panels will be convened twice yearly to consider and approve minor modifications.</w:t>
            </w:r>
          </w:p>
          <w:p w:rsidR="00470015" w:rsidRPr="00175C66" w:rsidRDefault="00470015" w:rsidP="00470015">
            <w:pPr>
              <w:pStyle w:val="ISEDbodytext"/>
              <w:rPr>
                <w:rFonts w:cs="Arial"/>
                <w:color w:val="auto"/>
                <w:szCs w:val="22"/>
              </w:rPr>
            </w:pPr>
            <w:r>
              <w:rPr>
                <w:color w:val="auto"/>
                <w:szCs w:val="22"/>
              </w:rPr>
              <w:lastRenderedPageBreak/>
              <w:t>For full details on each of this process and associated documentation please refer to the Programme Approval, Review and Modification Handbook</w:t>
            </w:r>
          </w:p>
        </w:tc>
        <w:tc>
          <w:tcPr>
            <w:tcW w:w="1994" w:type="dxa"/>
          </w:tcPr>
          <w:p w:rsidR="00954640" w:rsidRDefault="00954640" w:rsidP="00954640">
            <w:pPr>
              <w:pStyle w:val="BodyTextIndent2"/>
              <w:ind w:left="0"/>
              <w:rPr>
                <w:sz w:val="22"/>
                <w:szCs w:val="22"/>
              </w:rPr>
            </w:pPr>
            <w:r>
              <w:rPr>
                <w:sz w:val="22"/>
                <w:szCs w:val="22"/>
              </w:rPr>
              <w:lastRenderedPageBreak/>
              <w:t>Expectation for Quality</w:t>
            </w:r>
          </w:p>
          <w:p w:rsidR="00470015" w:rsidRPr="005661EC" w:rsidRDefault="00954640" w:rsidP="00954640">
            <w:pPr>
              <w:pStyle w:val="BodyTextIndent2"/>
              <w:ind w:left="0"/>
              <w:rPr>
                <w:sz w:val="22"/>
                <w:szCs w:val="22"/>
              </w:rPr>
            </w:pPr>
            <w:r>
              <w:rPr>
                <w:sz w:val="22"/>
                <w:szCs w:val="22"/>
              </w:rPr>
              <w:lastRenderedPageBreak/>
              <w:t xml:space="preserve">Core Practice </w:t>
            </w:r>
            <w:r>
              <w:rPr>
                <w:sz w:val="22"/>
                <w:szCs w:val="22"/>
              </w:rPr>
              <w:t xml:space="preserve">1 &amp; </w:t>
            </w:r>
            <w:bookmarkStart w:id="0" w:name="_GoBack"/>
            <w:bookmarkEnd w:id="0"/>
            <w:r>
              <w:rPr>
                <w:sz w:val="22"/>
                <w:szCs w:val="22"/>
              </w:rPr>
              <w:t>2</w:t>
            </w:r>
          </w:p>
        </w:tc>
      </w:tr>
      <w:tr w:rsidR="00FE374F" w:rsidRPr="005661EC" w:rsidTr="00FE374F">
        <w:tc>
          <w:tcPr>
            <w:tcW w:w="1728" w:type="dxa"/>
          </w:tcPr>
          <w:p w:rsidR="00FE374F" w:rsidRPr="005661EC" w:rsidRDefault="00FE374F" w:rsidP="00FE374F">
            <w:pPr>
              <w:pStyle w:val="BodyTextIndent2"/>
              <w:ind w:left="0"/>
              <w:rPr>
                <w:b/>
                <w:bCs/>
                <w:sz w:val="22"/>
                <w:szCs w:val="22"/>
              </w:rPr>
            </w:pPr>
            <w:r>
              <w:rPr>
                <w:b/>
                <w:bCs/>
                <w:sz w:val="22"/>
                <w:szCs w:val="22"/>
              </w:rPr>
              <w:lastRenderedPageBreak/>
              <w:t>Annual Review</w:t>
            </w:r>
            <w:r w:rsidR="00141B50">
              <w:rPr>
                <w:b/>
                <w:bCs/>
                <w:sz w:val="22"/>
                <w:szCs w:val="22"/>
              </w:rPr>
              <w:t xml:space="preserve"> Cycle</w:t>
            </w:r>
          </w:p>
        </w:tc>
        <w:tc>
          <w:tcPr>
            <w:tcW w:w="5600" w:type="dxa"/>
          </w:tcPr>
          <w:p w:rsidR="00FE374F" w:rsidRDefault="00141B50" w:rsidP="00141B50">
            <w:pPr>
              <w:pStyle w:val="BodyTextIndent2"/>
              <w:ind w:left="0"/>
              <w:rPr>
                <w:sz w:val="22"/>
                <w:szCs w:val="22"/>
              </w:rPr>
            </w:pPr>
            <w:r>
              <w:rPr>
                <w:sz w:val="22"/>
                <w:szCs w:val="22"/>
              </w:rPr>
              <w:t>The annual review cycle will include the following processes:</w:t>
            </w:r>
          </w:p>
          <w:p w:rsidR="00141B50" w:rsidRDefault="00141B50" w:rsidP="00513206">
            <w:pPr>
              <w:pStyle w:val="BodyTextIndent2"/>
              <w:numPr>
                <w:ilvl w:val="0"/>
                <w:numId w:val="22"/>
              </w:numPr>
              <w:rPr>
                <w:sz w:val="22"/>
                <w:szCs w:val="22"/>
              </w:rPr>
            </w:pPr>
            <w:r>
              <w:rPr>
                <w:sz w:val="22"/>
                <w:szCs w:val="22"/>
              </w:rPr>
              <w:t>Award Committee Meetings</w:t>
            </w:r>
          </w:p>
          <w:p w:rsidR="00141B50" w:rsidRPr="00851E47" w:rsidRDefault="00141B50" w:rsidP="00513206">
            <w:pPr>
              <w:pStyle w:val="BodyTextIndent2"/>
              <w:numPr>
                <w:ilvl w:val="0"/>
                <w:numId w:val="22"/>
              </w:numPr>
              <w:rPr>
                <w:sz w:val="22"/>
                <w:szCs w:val="22"/>
              </w:rPr>
            </w:pPr>
            <w:r w:rsidRPr="00851E47">
              <w:rPr>
                <w:sz w:val="22"/>
                <w:szCs w:val="22"/>
              </w:rPr>
              <w:t xml:space="preserve">Pathway </w:t>
            </w:r>
            <w:r w:rsidR="00C90B15" w:rsidRPr="00851E47">
              <w:rPr>
                <w:sz w:val="22"/>
                <w:szCs w:val="22"/>
              </w:rPr>
              <w:t>Review</w:t>
            </w:r>
          </w:p>
          <w:p w:rsidR="00141B50" w:rsidRDefault="00141B50" w:rsidP="00513206">
            <w:pPr>
              <w:pStyle w:val="BodyTextIndent2"/>
              <w:numPr>
                <w:ilvl w:val="0"/>
                <w:numId w:val="22"/>
              </w:numPr>
              <w:rPr>
                <w:sz w:val="22"/>
                <w:szCs w:val="22"/>
              </w:rPr>
            </w:pPr>
            <w:r>
              <w:rPr>
                <w:sz w:val="22"/>
                <w:szCs w:val="22"/>
              </w:rPr>
              <w:t>Student module &amp; course reviews</w:t>
            </w:r>
          </w:p>
          <w:p w:rsidR="00141B50" w:rsidRDefault="00141B50" w:rsidP="00513206">
            <w:pPr>
              <w:pStyle w:val="BodyTextIndent2"/>
              <w:numPr>
                <w:ilvl w:val="0"/>
                <w:numId w:val="22"/>
              </w:numPr>
              <w:rPr>
                <w:sz w:val="22"/>
                <w:szCs w:val="22"/>
              </w:rPr>
            </w:pPr>
            <w:r>
              <w:rPr>
                <w:sz w:val="22"/>
                <w:szCs w:val="22"/>
              </w:rPr>
              <w:t>Tutor module reviews</w:t>
            </w:r>
          </w:p>
          <w:p w:rsidR="00141B50" w:rsidRDefault="00141B50" w:rsidP="00513206">
            <w:pPr>
              <w:pStyle w:val="BodyTextIndent2"/>
              <w:numPr>
                <w:ilvl w:val="0"/>
                <w:numId w:val="22"/>
              </w:numPr>
              <w:rPr>
                <w:sz w:val="22"/>
                <w:szCs w:val="22"/>
              </w:rPr>
            </w:pPr>
            <w:r>
              <w:rPr>
                <w:sz w:val="22"/>
                <w:szCs w:val="22"/>
              </w:rPr>
              <w:t>Employer feedback</w:t>
            </w:r>
          </w:p>
          <w:p w:rsidR="00141B50" w:rsidRDefault="00141B50" w:rsidP="00513206">
            <w:pPr>
              <w:pStyle w:val="BodyTextIndent2"/>
              <w:numPr>
                <w:ilvl w:val="0"/>
                <w:numId w:val="22"/>
              </w:numPr>
              <w:rPr>
                <w:sz w:val="22"/>
                <w:szCs w:val="22"/>
              </w:rPr>
            </w:pPr>
            <w:r>
              <w:rPr>
                <w:sz w:val="22"/>
                <w:szCs w:val="22"/>
              </w:rPr>
              <w:t>Peer Review</w:t>
            </w:r>
          </w:p>
          <w:p w:rsidR="00141B50" w:rsidRDefault="00513206" w:rsidP="00513206">
            <w:pPr>
              <w:pStyle w:val="BodyTextIndent2"/>
              <w:numPr>
                <w:ilvl w:val="0"/>
                <w:numId w:val="22"/>
              </w:numPr>
              <w:rPr>
                <w:sz w:val="22"/>
                <w:szCs w:val="22"/>
              </w:rPr>
            </w:pPr>
            <w:r>
              <w:rPr>
                <w:sz w:val="22"/>
                <w:szCs w:val="22"/>
              </w:rPr>
              <w:t>Annual Review</w:t>
            </w:r>
          </w:p>
          <w:p w:rsidR="00513206" w:rsidRPr="005661EC" w:rsidRDefault="00513206" w:rsidP="00513206">
            <w:pPr>
              <w:pStyle w:val="BodyTextIndent2"/>
              <w:numPr>
                <w:ilvl w:val="0"/>
                <w:numId w:val="22"/>
              </w:numPr>
              <w:rPr>
                <w:sz w:val="22"/>
                <w:szCs w:val="22"/>
              </w:rPr>
            </w:pPr>
            <w:r>
              <w:rPr>
                <w:sz w:val="22"/>
                <w:szCs w:val="22"/>
              </w:rPr>
              <w:t>Peer Observation</w:t>
            </w:r>
          </w:p>
        </w:tc>
        <w:tc>
          <w:tcPr>
            <w:tcW w:w="1994" w:type="dxa"/>
          </w:tcPr>
          <w:p w:rsidR="00954640" w:rsidRDefault="00954640" w:rsidP="00954640">
            <w:pPr>
              <w:pStyle w:val="BodyTextIndent2"/>
              <w:ind w:left="0"/>
              <w:rPr>
                <w:sz w:val="22"/>
                <w:szCs w:val="22"/>
              </w:rPr>
            </w:pPr>
            <w:r>
              <w:rPr>
                <w:sz w:val="22"/>
                <w:szCs w:val="22"/>
              </w:rPr>
              <w:t>Expectation for Quality</w:t>
            </w:r>
          </w:p>
          <w:p w:rsidR="001D5C6F" w:rsidRPr="005661EC" w:rsidRDefault="00954640" w:rsidP="00954640">
            <w:pPr>
              <w:pStyle w:val="BodyTextIndent2"/>
              <w:ind w:left="0"/>
              <w:rPr>
                <w:sz w:val="22"/>
                <w:szCs w:val="22"/>
              </w:rPr>
            </w:pPr>
            <w:r>
              <w:rPr>
                <w:sz w:val="22"/>
                <w:szCs w:val="22"/>
              </w:rPr>
              <w:t>Co</w:t>
            </w:r>
            <w:r>
              <w:rPr>
                <w:sz w:val="22"/>
                <w:szCs w:val="22"/>
              </w:rPr>
              <w:t>mmon</w:t>
            </w:r>
            <w:r>
              <w:rPr>
                <w:sz w:val="22"/>
                <w:szCs w:val="22"/>
              </w:rPr>
              <w:t xml:space="preserve"> Practice 2</w:t>
            </w:r>
          </w:p>
        </w:tc>
      </w:tr>
      <w:tr w:rsidR="001B073C" w:rsidRPr="005661EC" w:rsidTr="00FE374F">
        <w:tc>
          <w:tcPr>
            <w:tcW w:w="1728" w:type="dxa"/>
          </w:tcPr>
          <w:p w:rsidR="001B073C" w:rsidRPr="005661EC" w:rsidRDefault="001B073C" w:rsidP="00FE374F">
            <w:pPr>
              <w:pStyle w:val="BodyTextIndent2"/>
              <w:ind w:left="0"/>
              <w:rPr>
                <w:b/>
                <w:bCs/>
                <w:sz w:val="22"/>
                <w:szCs w:val="22"/>
              </w:rPr>
            </w:pPr>
            <w:r w:rsidRPr="005661EC">
              <w:rPr>
                <w:b/>
                <w:bCs/>
                <w:sz w:val="22"/>
                <w:szCs w:val="22"/>
              </w:rPr>
              <w:t>Staff Development and Training</w:t>
            </w:r>
          </w:p>
        </w:tc>
        <w:tc>
          <w:tcPr>
            <w:tcW w:w="5600" w:type="dxa"/>
          </w:tcPr>
          <w:p w:rsidR="001B073C" w:rsidRPr="005661EC" w:rsidRDefault="001B073C" w:rsidP="00FE374F">
            <w:pPr>
              <w:pStyle w:val="BodyTextIndent2"/>
              <w:ind w:left="0"/>
              <w:rPr>
                <w:sz w:val="22"/>
                <w:szCs w:val="22"/>
              </w:rPr>
            </w:pPr>
            <w:r w:rsidRPr="005661EC">
              <w:rPr>
                <w:sz w:val="22"/>
                <w:szCs w:val="22"/>
              </w:rPr>
              <w:t xml:space="preserve">All staff associated will be given appropriate training and development and meet the requirements of the awarding body and where appropriate, the Quality Assurance Agency </w:t>
            </w:r>
            <w:r>
              <w:rPr>
                <w:sz w:val="22"/>
                <w:szCs w:val="22"/>
              </w:rPr>
              <w:t>Quality Code</w:t>
            </w:r>
            <w:r w:rsidRPr="005661EC">
              <w:rPr>
                <w:sz w:val="22"/>
                <w:szCs w:val="22"/>
              </w:rPr>
              <w:t>.</w:t>
            </w:r>
          </w:p>
          <w:p w:rsidR="001B073C" w:rsidRPr="005661EC" w:rsidRDefault="001B073C" w:rsidP="00FE374F">
            <w:pPr>
              <w:pStyle w:val="BodyTextIndent2"/>
              <w:ind w:left="0"/>
              <w:rPr>
                <w:sz w:val="22"/>
                <w:szCs w:val="22"/>
              </w:rPr>
            </w:pPr>
          </w:p>
        </w:tc>
        <w:tc>
          <w:tcPr>
            <w:tcW w:w="1994" w:type="dxa"/>
          </w:tcPr>
          <w:p w:rsidR="00954640" w:rsidRDefault="00954640" w:rsidP="00954640">
            <w:pPr>
              <w:pStyle w:val="BodyTextIndent2"/>
              <w:ind w:left="0"/>
              <w:rPr>
                <w:sz w:val="22"/>
                <w:szCs w:val="22"/>
              </w:rPr>
            </w:pPr>
            <w:r>
              <w:rPr>
                <w:sz w:val="22"/>
                <w:szCs w:val="22"/>
              </w:rPr>
              <w:t>Expectation for Quality</w:t>
            </w:r>
          </w:p>
          <w:p w:rsidR="001B073C" w:rsidRPr="005661EC" w:rsidRDefault="00954640" w:rsidP="00954640">
            <w:pPr>
              <w:pStyle w:val="BodyTextIndent2"/>
              <w:ind w:left="0"/>
              <w:rPr>
                <w:sz w:val="22"/>
                <w:szCs w:val="22"/>
              </w:rPr>
            </w:pPr>
            <w:r>
              <w:rPr>
                <w:sz w:val="22"/>
                <w:szCs w:val="22"/>
              </w:rPr>
              <w:t>Co</w:t>
            </w:r>
            <w:r>
              <w:rPr>
                <w:sz w:val="22"/>
                <w:szCs w:val="22"/>
              </w:rPr>
              <w:t>re</w:t>
            </w:r>
            <w:r>
              <w:rPr>
                <w:sz w:val="22"/>
                <w:szCs w:val="22"/>
              </w:rPr>
              <w:t xml:space="preserve"> Practice</w:t>
            </w:r>
            <w:r>
              <w:rPr>
                <w:sz w:val="22"/>
                <w:szCs w:val="22"/>
              </w:rPr>
              <w:t xml:space="preserve"> 2</w:t>
            </w:r>
          </w:p>
        </w:tc>
      </w:tr>
      <w:tr w:rsidR="00470015" w:rsidRPr="005661EC">
        <w:tc>
          <w:tcPr>
            <w:tcW w:w="1728" w:type="dxa"/>
          </w:tcPr>
          <w:p w:rsidR="00470015" w:rsidRPr="005661EC" w:rsidRDefault="00470015">
            <w:pPr>
              <w:pStyle w:val="BodyTextIndent2"/>
              <w:ind w:left="0"/>
              <w:rPr>
                <w:b/>
                <w:bCs/>
                <w:sz w:val="22"/>
                <w:szCs w:val="22"/>
              </w:rPr>
            </w:pPr>
            <w:r w:rsidRPr="005661EC">
              <w:rPr>
                <w:b/>
                <w:bCs/>
                <w:sz w:val="22"/>
                <w:szCs w:val="22"/>
              </w:rPr>
              <w:t>Equality and Diversity Statement</w:t>
            </w:r>
          </w:p>
        </w:tc>
        <w:tc>
          <w:tcPr>
            <w:tcW w:w="5600" w:type="dxa"/>
          </w:tcPr>
          <w:p w:rsidR="00470015" w:rsidRPr="005661EC" w:rsidRDefault="00470015">
            <w:pPr>
              <w:pStyle w:val="BodyTextIndent2"/>
              <w:ind w:left="0"/>
              <w:rPr>
                <w:sz w:val="22"/>
                <w:szCs w:val="22"/>
              </w:rPr>
            </w:pPr>
            <w:r w:rsidRPr="005661EC">
              <w:rPr>
                <w:sz w:val="22"/>
                <w:szCs w:val="22"/>
              </w:rPr>
              <w:t xml:space="preserve">This policy will be implemented in accordance with the College’s Policy on Valuing Diversity and with consideration of </w:t>
            </w:r>
            <w:r>
              <w:rPr>
                <w:sz w:val="22"/>
                <w:szCs w:val="22"/>
              </w:rPr>
              <w:t>programme approval and review guidelines produced</w:t>
            </w:r>
            <w:r w:rsidRPr="005661EC">
              <w:rPr>
                <w:sz w:val="22"/>
                <w:szCs w:val="22"/>
              </w:rPr>
              <w:t xml:space="preserve"> by awarding bodies and where appropriate, the QAA </w:t>
            </w:r>
            <w:r w:rsidRPr="00F87971">
              <w:rPr>
                <w:sz w:val="22"/>
                <w:szCs w:val="22"/>
              </w:rPr>
              <w:t>Quality Code</w:t>
            </w:r>
          </w:p>
          <w:p w:rsidR="00470015" w:rsidRPr="005661EC" w:rsidRDefault="00470015">
            <w:pPr>
              <w:pStyle w:val="BodyTextIndent2"/>
              <w:ind w:left="0"/>
              <w:rPr>
                <w:sz w:val="22"/>
                <w:szCs w:val="22"/>
              </w:rPr>
            </w:pPr>
          </w:p>
        </w:tc>
        <w:tc>
          <w:tcPr>
            <w:tcW w:w="1994" w:type="dxa"/>
          </w:tcPr>
          <w:p w:rsidR="00470015" w:rsidRPr="005661EC" w:rsidRDefault="00470015">
            <w:pPr>
              <w:pStyle w:val="BodyTextIndent2"/>
              <w:ind w:left="0"/>
              <w:rPr>
                <w:sz w:val="22"/>
                <w:szCs w:val="22"/>
              </w:rPr>
            </w:pPr>
          </w:p>
        </w:tc>
      </w:tr>
      <w:tr w:rsidR="00470015" w:rsidRPr="005661EC" w:rsidTr="00470015">
        <w:tc>
          <w:tcPr>
            <w:tcW w:w="1728" w:type="dxa"/>
            <w:tcBorders>
              <w:top w:val="single" w:sz="4" w:space="0" w:color="auto"/>
              <w:left w:val="single" w:sz="4" w:space="0" w:color="auto"/>
              <w:bottom w:val="single" w:sz="4" w:space="0" w:color="auto"/>
              <w:right w:val="single" w:sz="4" w:space="0" w:color="auto"/>
            </w:tcBorders>
          </w:tcPr>
          <w:p w:rsidR="00470015" w:rsidRPr="005661EC" w:rsidRDefault="00470015" w:rsidP="00FE374F">
            <w:pPr>
              <w:pStyle w:val="BodyTextIndent2"/>
              <w:ind w:left="0"/>
              <w:rPr>
                <w:b/>
                <w:bCs/>
                <w:sz w:val="22"/>
                <w:szCs w:val="22"/>
              </w:rPr>
            </w:pPr>
            <w:r>
              <w:rPr>
                <w:b/>
                <w:bCs/>
                <w:sz w:val="22"/>
                <w:szCs w:val="22"/>
              </w:rPr>
              <w:t>Review and Evaluation</w:t>
            </w:r>
          </w:p>
        </w:tc>
        <w:tc>
          <w:tcPr>
            <w:tcW w:w="5600" w:type="dxa"/>
            <w:tcBorders>
              <w:top w:val="single" w:sz="4" w:space="0" w:color="auto"/>
              <w:left w:val="single" w:sz="4" w:space="0" w:color="auto"/>
              <w:bottom w:val="single" w:sz="4" w:space="0" w:color="auto"/>
              <w:right w:val="single" w:sz="4" w:space="0" w:color="auto"/>
            </w:tcBorders>
          </w:tcPr>
          <w:p w:rsidR="00470015" w:rsidRPr="005661EC" w:rsidRDefault="00470015" w:rsidP="00FE374F">
            <w:pPr>
              <w:pStyle w:val="BodyTextIndent2"/>
              <w:ind w:left="0"/>
              <w:rPr>
                <w:sz w:val="22"/>
                <w:szCs w:val="22"/>
              </w:rPr>
            </w:pPr>
            <w:r>
              <w:rPr>
                <w:sz w:val="22"/>
                <w:szCs w:val="22"/>
              </w:rPr>
              <w:t>This policy and its associated processes will be reviewed on an annual basis as part of the Annual Review process.  Outcomes of the review will inform future changes to policy or process.</w:t>
            </w:r>
          </w:p>
          <w:p w:rsidR="00470015" w:rsidRPr="005661EC" w:rsidRDefault="00470015" w:rsidP="00FE374F">
            <w:pPr>
              <w:pStyle w:val="BodyTextIndent2"/>
              <w:ind w:left="0"/>
              <w:rPr>
                <w:sz w:val="22"/>
                <w:szCs w:val="22"/>
              </w:rPr>
            </w:pPr>
          </w:p>
        </w:tc>
        <w:tc>
          <w:tcPr>
            <w:tcW w:w="1994" w:type="dxa"/>
            <w:tcBorders>
              <w:top w:val="single" w:sz="4" w:space="0" w:color="auto"/>
              <w:left w:val="single" w:sz="4" w:space="0" w:color="auto"/>
              <w:bottom w:val="single" w:sz="4" w:space="0" w:color="auto"/>
              <w:right w:val="single" w:sz="4" w:space="0" w:color="auto"/>
            </w:tcBorders>
          </w:tcPr>
          <w:p w:rsidR="00470015" w:rsidRDefault="00954640" w:rsidP="00FE374F">
            <w:pPr>
              <w:pStyle w:val="BodyTextIndent2"/>
              <w:ind w:left="0"/>
              <w:rPr>
                <w:sz w:val="22"/>
                <w:szCs w:val="22"/>
              </w:rPr>
            </w:pPr>
            <w:r>
              <w:rPr>
                <w:sz w:val="22"/>
                <w:szCs w:val="22"/>
              </w:rPr>
              <w:t>Expectation for Quality</w:t>
            </w:r>
          </w:p>
          <w:p w:rsidR="00954640" w:rsidRPr="005661EC" w:rsidRDefault="00954640" w:rsidP="00FE374F">
            <w:pPr>
              <w:pStyle w:val="BodyTextIndent2"/>
              <w:ind w:left="0"/>
              <w:rPr>
                <w:sz w:val="22"/>
                <w:szCs w:val="22"/>
              </w:rPr>
            </w:pPr>
            <w:r>
              <w:rPr>
                <w:sz w:val="22"/>
                <w:szCs w:val="22"/>
              </w:rPr>
              <w:t>Common Practices 1 &amp; 2</w:t>
            </w:r>
          </w:p>
        </w:tc>
      </w:tr>
      <w:tr w:rsidR="00A34E8C" w:rsidTr="00A34E8C">
        <w:tc>
          <w:tcPr>
            <w:tcW w:w="1728" w:type="dxa"/>
            <w:tcBorders>
              <w:top w:val="single" w:sz="4" w:space="0" w:color="auto"/>
              <w:left w:val="single" w:sz="4" w:space="0" w:color="auto"/>
              <w:bottom w:val="single" w:sz="4" w:space="0" w:color="auto"/>
              <w:right w:val="single" w:sz="4" w:space="0" w:color="auto"/>
            </w:tcBorders>
          </w:tcPr>
          <w:p w:rsidR="00A34E8C" w:rsidRDefault="00A34E8C" w:rsidP="00A34E8C">
            <w:pPr>
              <w:pStyle w:val="BodyTextIndent2"/>
              <w:ind w:left="0"/>
              <w:rPr>
                <w:b/>
                <w:bCs/>
                <w:sz w:val="22"/>
                <w:szCs w:val="22"/>
              </w:rPr>
            </w:pPr>
            <w:r>
              <w:rPr>
                <w:b/>
                <w:bCs/>
                <w:sz w:val="22"/>
                <w:szCs w:val="22"/>
              </w:rPr>
              <w:t>Associated Documentation</w:t>
            </w:r>
          </w:p>
        </w:tc>
        <w:tc>
          <w:tcPr>
            <w:tcW w:w="5600" w:type="dxa"/>
            <w:tcBorders>
              <w:top w:val="single" w:sz="4" w:space="0" w:color="auto"/>
              <w:left w:val="single" w:sz="4" w:space="0" w:color="auto"/>
              <w:bottom w:val="single" w:sz="4" w:space="0" w:color="auto"/>
              <w:right w:val="single" w:sz="4" w:space="0" w:color="auto"/>
            </w:tcBorders>
          </w:tcPr>
          <w:p w:rsidR="00A34E8C" w:rsidRDefault="00A34E8C" w:rsidP="00A34E8C">
            <w:pPr>
              <w:pStyle w:val="BodyTextIndent2"/>
              <w:numPr>
                <w:ilvl w:val="0"/>
                <w:numId w:val="23"/>
              </w:numPr>
              <w:rPr>
                <w:sz w:val="22"/>
                <w:szCs w:val="22"/>
              </w:rPr>
            </w:pPr>
            <w:r>
              <w:rPr>
                <w:sz w:val="22"/>
                <w:szCs w:val="22"/>
              </w:rPr>
              <w:t>Foundation Degree Academic Regulations</w:t>
            </w:r>
          </w:p>
          <w:p w:rsidR="00A34E8C" w:rsidRDefault="00A34E8C" w:rsidP="00A34E8C">
            <w:pPr>
              <w:pStyle w:val="BodyTextIndent2"/>
              <w:numPr>
                <w:ilvl w:val="0"/>
                <w:numId w:val="23"/>
              </w:numPr>
              <w:rPr>
                <w:sz w:val="22"/>
                <w:szCs w:val="22"/>
              </w:rPr>
            </w:pPr>
            <w:r>
              <w:rPr>
                <w:sz w:val="22"/>
                <w:szCs w:val="22"/>
              </w:rPr>
              <w:t>Full Programme Approval Panel Guidance</w:t>
            </w:r>
          </w:p>
          <w:p w:rsidR="00A34E8C" w:rsidRDefault="00A34E8C" w:rsidP="00A34E8C">
            <w:pPr>
              <w:pStyle w:val="BodyTextIndent2"/>
              <w:numPr>
                <w:ilvl w:val="0"/>
                <w:numId w:val="23"/>
              </w:numPr>
              <w:rPr>
                <w:sz w:val="22"/>
                <w:szCs w:val="22"/>
              </w:rPr>
            </w:pPr>
            <w:r>
              <w:rPr>
                <w:sz w:val="22"/>
                <w:szCs w:val="22"/>
              </w:rPr>
              <w:t>Programme Approval, Review and Modification Handbook</w:t>
            </w:r>
          </w:p>
          <w:p w:rsidR="00A34E8C" w:rsidRDefault="00A34E8C" w:rsidP="00A34E8C">
            <w:pPr>
              <w:pStyle w:val="BodyTextIndent2"/>
              <w:numPr>
                <w:ilvl w:val="0"/>
                <w:numId w:val="23"/>
              </w:numPr>
              <w:rPr>
                <w:sz w:val="22"/>
                <w:szCs w:val="22"/>
              </w:rPr>
            </w:pPr>
            <w:r>
              <w:rPr>
                <w:sz w:val="22"/>
                <w:szCs w:val="22"/>
              </w:rPr>
              <w:t>Strategic Planning Approval</w:t>
            </w:r>
          </w:p>
          <w:p w:rsidR="00A34E8C" w:rsidRDefault="00A34E8C" w:rsidP="00A34E8C">
            <w:pPr>
              <w:pStyle w:val="BodyTextIndent2"/>
              <w:numPr>
                <w:ilvl w:val="0"/>
                <w:numId w:val="23"/>
              </w:numPr>
              <w:rPr>
                <w:sz w:val="22"/>
                <w:szCs w:val="22"/>
              </w:rPr>
            </w:pPr>
            <w:r>
              <w:rPr>
                <w:sz w:val="22"/>
                <w:szCs w:val="22"/>
              </w:rPr>
              <w:t>Assessment and Moderation Policy</w:t>
            </w:r>
          </w:p>
          <w:p w:rsidR="00A34E8C" w:rsidRDefault="00A34E8C" w:rsidP="00A34E8C">
            <w:pPr>
              <w:pStyle w:val="BodyTextIndent2"/>
              <w:numPr>
                <w:ilvl w:val="0"/>
                <w:numId w:val="23"/>
              </w:numPr>
              <w:rPr>
                <w:sz w:val="22"/>
                <w:szCs w:val="22"/>
              </w:rPr>
            </w:pPr>
            <w:r>
              <w:rPr>
                <w:sz w:val="22"/>
                <w:szCs w:val="22"/>
              </w:rPr>
              <w:t>Assessment and Moderation Handbook</w:t>
            </w:r>
          </w:p>
          <w:p w:rsidR="00A34E8C" w:rsidRDefault="00A34E8C" w:rsidP="00A34E8C">
            <w:pPr>
              <w:pStyle w:val="BodyTextIndent2"/>
              <w:numPr>
                <w:ilvl w:val="0"/>
                <w:numId w:val="23"/>
              </w:numPr>
              <w:rPr>
                <w:sz w:val="22"/>
                <w:szCs w:val="22"/>
              </w:rPr>
            </w:pPr>
            <w:r>
              <w:rPr>
                <w:sz w:val="22"/>
                <w:szCs w:val="22"/>
              </w:rPr>
              <w:t>Programme Documentation Templates</w:t>
            </w:r>
          </w:p>
          <w:p w:rsidR="00A34E8C" w:rsidRDefault="00A34E8C" w:rsidP="00A34E8C">
            <w:pPr>
              <w:pStyle w:val="BodyTextIndent2"/>
              <w:numPr>
                <w:ilvl w:val="0"/>
                <w:numId w:val="23"/>
              </w:numPr>
              <w:rPr>
                <w:sz w:val="22"/>
                <w:szCs w:val="22"/>
              </w:rPr>
            </w:pPr>
            <w:r>
              <w:rPr>
                <w:sz w:val="22"/>
                <w:szCs w:val="22"/>
              </w:rPr>
              <w:t>Programme Development Guidance</w:t>
            </w:r>
          </w:p>
        </w:tc>
        <w:tc>
          <w:tcPr>
            <w:tcW w:w="1994" w:type="dxa"/>
            <w:tcBorders>
              <w:top w:val="single" w:sz="4" w:space="0" w:color="auto"/>
              <w:left w:val="single" w:sz="4" w:space="0" w:color="auto"/>
              <w:bottom w:val="single" w:sz="4" w:space="0" w:color="auto"/>
              <w:right w:val="single" w:sz="4" w:space="0" w:color="auto"/>
            </w:tcBorders>
          </w:tcPr>
          <w:p w:rsidR="00A34E8C" w:rsidRDefault="00A34E8C" w:rsidP="00A34E8C">
            <w:pPr>
              <w:pStyle w:val="BodyTextIndent2"/>
              <w:ind w:left="0"/>
              <w:rPr>
                <w:sz w:val="22"/>
                <w:szCs w:val="22"/>
              </w:rPr>
            </w:pPr>
          </w:p>
        </w:tc>
      </w:tr>
    </w:tbl>
    <w:p w:rsidR="009E1645" w:rsidRPr="005661EC" w:rsidRDefault="009E1645" w:rsidP="00F87971">
      <w:pPr>
        <w:pStyle w:val="Heading2"/>
        <w:rPr>
          <w:sz w:val="22"/>
          <w:szCs w:val="22"/>
        </w:rPr>
      </w:pPr>
    </w:p>
    <w:sectPr w:rsidR="009E1645" w:rsidRPr="005661EC" w:rsidSect="004B39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AD" w:rsidRDefault="004C31AD" w:rsidP="006846E1">
      <w:r>
        <w:separator/>
      </w:r>
    </w:p>
  </w:endnote>
  <w:endnote w:type="continuationSeparator" w:id="0">
    <w:p w:rsidR="004C31AD" w:rsidRDefault="004C31AD" w:rsidP="0068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AD" w:rsidRPr="0066308A" w:rsidRDefault="004C31AD">
    <w:pPr>
      <w:pStyle w:val="Footer"/>
      <w:rPr>
        <w:sz w:val="16"/>
        <w:szCs w:val="16"/>
      </w:rPr>
    </w:pPr>
    <w:r>
      <w:rPr>
        <w:sz w:val="16"/>
        <w:szCs w:val="16"/>
      </w:rPr>
      <w:t>Version 2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AD" w:rsidRDefault="004C31AD" w:rsidP="006846E1">
      <w:r>
        <w:separator/>
      </w:r>
    </w:p>
  </w:footnote>
  <w:footnote w:type="continuationSeparator" w:id="0">
    <w:p w:rsidR="004C31AD" w:rsidRDefault="004C31AD" w:rsidP="0068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A1C"/>
    <w:multiLevelType w:val="hybridMultilevel"/>
    <w:tmpl w:val="432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097E"/>
    <w:multiLevelType w:val="hybridMultilevel"/>
    <w:tmpl w:val="C40EF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253C0"/>
    <w:multiLevelType w:val="hybridMultilevel"/>
    <w:tmpl w:val="502C02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BF243F9"/>
    <w:multiLevelType w:val="hybridMultilevel"/>
    <w:tmpl w:val="B004339E"/>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671BB"/>
    <w:multiLevelType w:val="hybridMultilevel"/>
    <w:tmpl w:val="AB4C2080"/>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130B7"/>
    <w:multiLevelType w:val="hybridMultilevel"/>
    <w:tmpl w:val="1DDE1E4A"/>
    <w:lvl w:ilvl="0" w:tplc="D2FCCF10">
      <w:start w:val="1"/>
      <w:numFmt w:val="bullet"/>
      <w:lvlText w:val=""/>
      <w:lvlJc w:val="left"/>
      <w:pPr>
        <w:tabs>
          <w:tab w:val="num" w:pos="471"/>
        </w:tabs>
        <w:ind w:left="471" w:hanging="471"/>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F0284"/>
    <w:multiLevelType w:val="hybridMultilevel"/>
    <w:tmpl w:val="77102B6C"/>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802C4"/>
    <w:multiLevelType w:val="hybridMultilevel"/>
    <w:tmpl w:val="7DFCB86E"/>
    <w:lvl w:ilvl="0" w:tplc="D2FCCF10">
      <w:start w:val="1"/>
      <w:numFmt w:val="bullet"/>
      <w:lvlText w:val=""/>
      <w:lvlJc w:val="left"/>
      <w:pPr>
        <w:tabs>
          <w:tab w:val="num" w:pos="471"/>
        </w:tabs>
        <w:ind w:left="471" w:hanging="471"/>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64128"/>
    <w:multiLevelType w:val="hybridMultilevel"/>
    <w:tmpl w:val="A0927B24"/>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87848"/>
    <w:multiLevelType w:val="hybridMultilevel"/>
    <w:tmpl w:val="69D2F600"/>
    <w:lvl w:ilvl="0" w:tplc="D2FCCF10">
      <w:start w:val="1"/>
      <w:numFmt w:val="bullet"/>
      <w:lvlText w:val=""/>
      <w:lvlJc w:val="left"/>
      <w:pPr>
        <w:tabs>
          <w:tab w:val="num" w:pos="1191"/>
        </w:tabs>
        <w:ind w:left="1191" w:hanging="471"/>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DF1F5C"/>
    <w:multiLevelType w:val="hybridMultilevel"/>
    <w:tmpl w:val="54166138"/>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D65A1"/>
    <w:multiLevelType w:val="hybridMultilevel"/>
    <w:tmpl w:val="23C48F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F561D1"/>
    <w:multiLevelType w:val="hybridMultilevel"/>
    <w:tmpl w:val="A14EC10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47066759"/>
    <w:multiLevelType w:val="hybridMultilevel"/>
    <w:tmpl w:val="04A0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12B92"/>
    <w:multiLevelType w:val="hybridMultilevel"/>
    <w:tmpl w:val="67D6EF4E"/>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33C91"/>
    <w:multiLevelType w:val="hybridMultilevel"/>
    <w:tmpl w:val="A62C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B4B0B"/>
    <w:multiLevelType w:val="hybridMultilevel"/>
    <w:tmpl w:val="51DCE6F2"/>
    <w:lvl w:ilvl="0" w:tplc="0409000F">
      <w:start w:val="1"/>
      <w:numFmt w:val="decimal"/>
      <w:pStyle w:val="SubHeading"/>
      <w:lvlText w:val="%1."/>
      <w:lvlJc w:val="left"/>
      <w:pPr>
        <w:tabs>
          <w:tab w:val="num" w:pos="360"/>
        </w:tabs>
        <w:ind w:left="360" w:hanging="360"/>
      </w:pPr>
    </w:lvl>
    <w:lvl w:ilvl="1" w:tplc="D2FCCF10">
      <w:start w:val="1"/>
      <w:numFmt w:val="bullet"/>
      <w:lvlText w:val=""/>
      <w:lvlJc w:val="left"/>
      <w:pPr>
        <w:tabs>
          <w:tab w:val="num" w:pos="1191"/>
        </w:tabs>
        <w:ind w:left="1191" w:hanging="471"/>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A99665F"/>
    <w:multiLevelType w:val="hybridMultilevel"/>
    <w:tmpl w:val="BD526B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35697"/>
    <w:multiLevelType w:val="hybridMultilevel"/>
    <w:tmpl w:val="74344C3C"/>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4B95D79"/>
    <w:multiLevelType w:val="hybridMultilevel"/>
    <w:tmpl w:val="8D6000F0"/>
    <w:lvl w:ilvl="0" w:tplc="08090001">
      <w:start w:val="1"/>
      <w:numFmt w:val="bullet"/>
      <w:lvlText w:val=""/>
      <w:lvlJc w:val="left"/>
      <w:pPr>
        <w:tabs>
          <w:tab w:val="num" w:pos="360"/>
        </w:tabs>
        <w:ind w:left="360" w:hanging="360"/>
      </w:pPr>
      <w:rPr>
        <w:rFonts w:ascii="Symbol" w:hAnsi="Symbol" w:hint="default"/>
      </w:rPr>
    </w:lvl>
    <w:lvl w:ilvl="1" w:tplc="D2FCCF10">
      <w:start w:val="1"/>
      <w:numFmt w:val="bullet"/>
      <w:lvlText w:val=""/>
      <w:lvlJc w:val="left"/>
      <w:pPr>
        <w:tabs>
          <w:tab w:val="num" w:pos="1191"/>
        </w:tabs>
        <w:ind w:left="1191" w:hanging="471"/>
      </w:pPr>
      <w:rPr>
        <w:rFonts w:ascii="Wingdings" w:hAnsi="Wingdings" w:hint="default"/>
        <w:sz w:val="16"/>
      </w:rPr>
    </w:lvl>
    <w:lvl w:ilvl="2" w:tplc="1CEAB8D8">
      <w:start w:val="1"/>
      <w:numFmt w:val="decimal"/>
      <w:lvlText w:val="%3."/>
      <w:lvlJc w:val="left"/>
      <w:pPr>
        <w:tabs>
          <w:tab w:val="num" w:pos="1837"/>
        </w:tabs>
        <w:ind w:left="1837" w:hanging="397"/>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B96EDA"/>
    <w:multiLevelType w:val="hybridMultilevel"/>
    <w:tmpl w:val="F3A6CE0E"/>
    <w:lvl w:ilvl="0" w:tplc="D2FCCF10">
      <w:start w:val="1"/>
      <w:numFmt w:val="bullet"/>
      <w:lvlText w:val=""/>
      <w:lvlJc w:val="left"/>
      <w:pPr>
        <w:tabs>
          <w:tab w:val="num" w:pos="942"/>
        </w:tabs>
        <w:ind w:left="942" w:hanging="471"/>
      </w:pPr>
      <w:rPr>
        <w:rFonts w:ascii="Wingdings" w:hAnsi="Wingdings" w:hint="default"/>
        <w:sz w:val="16"/>
      </w:rPr>
    </w:lvl>
    <w:lvl w:ilvl="1" w:tplc="04090003" w:tentative="1">
      <w:start w:val="1"/>
      <w:numFmt w:val="bullet"/>
      <w:lvlText w:val="o"/>
      <w:lvlJc w:val="left"/>
      <w:pPr>
        <w:tabs>
          <w:tab w:val="num" w:pos="1911"/>
        </w:tabs>
        <w:ind w:left="1911" w:hanging="360"/>
      </w:pPr>
      <w:rPr>
        <w:rFonts w:ascii="Courier New" w:hAnsi="Courier New" w:hint="default"/>
      </w:rPr>
    </w:lvl>
    <w:lvl w:ilvl="2" w:tplc="04090005" w:tentative="1">
      <w:start w:val="1"/>
      <w:numFmt w:val="bullet"/>
      <w:lvlText w:val=""/>
      <w:lvlJc w:val="left"/>
      <w:pPr>
        <w:tabs>
          <w:tab w:val="num" w:pos="2631"/>
        </w:tabs>
        <w:ind w:left="2631" w:hanging="360"/>
      </w:pPr>
      <w:rPr>
        <w:rFonts w:ascii="Wingdings" w:hAnsi="Wingdings" w:hint="default"/>
      </w:rPr>
    </w:lvl>
    <w:lvl w:ilvl="3" w:tplc="04090001" w:tentative="1">
      <w:start w:val="1"/>
      <w:numFmt w:val="bullet"/>
      <w:lvlText w:val=""/>
      <w:lvlJc w:val="left"/>
      <w:pPr>
        <w:tabs>
          <w:tab w:val="num" w:pos="3351"/>
        </w:tabs>
        <w:ind w:left="3351" w:hanging="360"/>
      </w:pPr>
      <w:rPr>
        <w:rFonts w:ascii="Symbol" w:hAnsi="Symbol" w:hint="default"/>
      </w:rPr>
    </w:lvl>
    <w:lvl w:ilvl="4" w:tplc="04090003" w:tentative="1">
      <w:start w:val="1"/>
      <w:numFmt w:val="bullet"/>
      <w:lvlText w:val="o"/>
      <w:lvlJc w:val="left"/>
      <w:pPr>
        <w:tabs>
          <w:tab w:val="num" w:pos="4071"/>
        </w:tabs>
        <w:ind w:left="4071" w:hanging="360"/>
      </w:pPr>
      <w:rPr>
        <w:rFonts w:ascii="Courier New" w:hAnsi="Courier New" w:hint="default"/>
      </w:rPr>
    </w:lvl>
    <w:lvl w:ilvl="5" w:tplc="04090005" w:tentative="1">
      <w:start w:val="1"/>
      <w:numFmt w:val="bullet"/>
      <w:lvlText w:val=""/>
      <w:lvlJc w:val="left"/>
      <w:pPr>
        <w:tabs>
          <w:tab w:val="num" w:pos="4791"/>
        </w:tabs>
        <w:ind w:left="4791" w:hanging="360"/>
      </w:pPr>
      <w:rPr>
        <w:rFonts w:ascii="Wingdings" w:hAnsi="Wingdings" w:hint="default"/>
      </w:rPr>
    </w:lvl>
    <w:lvl w:ilvl="6" w:tplc="04090001" w:tentative="1">
      <w:start w:val="1"/>
      <w:numFmt w:val="bullet"/>
      <w:lvlText w:val=""/>
      <w:lvlJc w:val="left"/>
      <w:pPr>
        <w:tabs>
          <w:tab w:val="num" w:pos="5511"/>
        </w:tabs>
        <w:ind w:left="5511" w:hanging="360"/>
      </w:pPr>
      <w:rPr>
        <w:rFonts w:ascii="Symbol" w:hAnsi="Symbol" w:hint="default"/>
      </w:rPr>
    </w:lvl>
    <w:lvl w:ilvl="7" w:tplc="04090003" w:tentative="1">
      <w:start w:val="1"/>
      <w:numFmt w:val="bullet"/>
      <w:lvlText w:val="o"/>
      <w:lvlJc w:val="left"/>
      <w:pPr>
        <w:tabs>
          <w:tab w:val="num" w:pos="6231"/>
        </w:tabs>
        <w:ind w:left="6231" w:hanging="360"/>
      </w:pPr>
      <w:rPr>
        <w:rFonts w:ascii="Courier New" w:hAnsi="Courier New" w:hint="default"/>
      </w:rPr>
    </w:lvl>
    <w:lvl w:ilvl="8" w:tplc="04090005" w:tentative="1">
      <w:start w:val="1"/>
      <w:numFmt w:val="bullet"/>
      <w:lvlText w:val=""/>
      <w:lvlJc w:val="left"/>
      <w:pPr>
        <w:tabs>
          <w:tab w:val="num" w:pos="6951"/>
        </w:tabs>
        <w:ind w:left="6951" w:hanging="360"/>
      </w:pPr>
      <w:rPr>
        <w:rFonts w:ascii="Wingdings" w:hAnsi="Wingdings" w:hint="default"/>
      </w:rPr>
    </w:lvl>
  </w:abstractNum>
  <w:abstractNum w:abstractNumId="21" w15:restartNumberingAfterBreak="0">
    <w:nsid w:val="6F6F503C"/>
    <w:multiLevelType w:val="hybridMultilevel"/>
    <w:tmpl w:val="ABBE2F40"/>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275B4"/>
    <w:multiLevelType w:val="hybridMultilevel"/>
    <w:tmpl w:val="B3C2B31C"/>
    <w:lvl w:ilvl="0" w:tplc="D2FCCF10">
      <w:start w:val="1"/>
      <w:numFmt w:val="bullet"/>
      <w:lvlText w:val=""/>
      <w:lvlJc w:val="left"/>
      <w:pPr>
        <w:tabs>
          <w:tab w:val="num" w:pos="1191"/>
        </w:tabs>
        <w:ind w:left="1191" w:hanging="471"/>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9"/>
  </w:num>
  <w:num w:numId="3">
    <w:abstractNumId w:val="5"/>
  </w:num>
  <w:num w:numId="4">
    <w:abstractNumId w:val="19"/>
  </w:num>
  <w:num w:numId="5">
    <w:abstractNumId w:val="22"/>
  </w:num>
  <w:num w:numId="6">
    <w:abstractNumId w:val="20"/>
  </w:num>
  <w:num w:numId="7">
    <w:abstractNumId w:val="7"/>
  </w:num>
  <w:num w:numId="8">
    <w:abstractNumId w:val="1"/>
  </w:num>
  <w:num w:numId="9">
    <w:abstractNumId w:val="0"/>
  </w:num>
  <w:num w:numId="10">
    <w:abstractNumId w:val="8"/>
  </w:num>
  <w:num w:numId="11">
    <w:abstractNumId w:val="11"/>
  </w:num>
  <w:num w:numId="12">
    <w:abstractNumId w:val="12"/>
  </w:num>
  <w:num w:numId="13">
    <w:abstractNumId w:val="6"/>
  </w:num>
  <w:num w:numId="14">
    <w:abstractNumId w:val="4"/>
  </w:num>
  <w:num w:numId="15">
    <w:abstractNumId w:val="3"/>
  </w:num>
  <w:num w:numId="16">
    <w:abstractNumId w:val="17"/>
  </w:num>
  <w:num w:numId="17">
    <w:abstractNumId w:val="10"/>
  </w:num>
  <w:num w:numId="18">
    <w:abstractNumId w:val="14"/>
  </w:num>
  <w:num w:numId="19">
    <w:abstractNumId w:val="2"/>
  </w:num>
  <w:num w:numId="20">
    <w:abstractNumId w:val="18"/>
  </w:num>
  <w:num w:numId="21">
    <w:abstractNumId w:val="1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CC"/>
    <w:rsid w:val="0012060E"/>
    <w:rsid w:val="00123646"/>
    <w:rsid w:val="00141B50"/>
    <w:rsid w:val="00150D5F"/>
    <w:rsid w:val="00175C66"/>
    <w:rsid w:val="0019061E"/>
    <w:rsid w:val="001B073C"/>
    <w:rsid w:val="001D5C6F"/>
    <w:rsid w:val="002266E3"/>
    <w:rsid w:val="00250327"/>
    <w:rsid w:val="00266369"/>
    <w:rsid w:val="003129CD"/>
    <w:rsid w:val="00320752"/>
    <w:rsid w:val="00341559"/>
    <w:rsid w:val="0035237F"/>
    <w:rsid w:val="003B0C89"/>
    <w:rsid w:val="00430E63"/>
    <w:rsid w:val="00434721"/>
    <w:rsid w:val="00470015"/>
    <w:rsid w:val="0048613A"/>
    <w:rsid w:val="004B39B4"/>
    <w:rsid w:val="004C31AD"/>
    <w:rsid w:val="004D5663"/>
    <w:rsid w:val="005103F1"/>
    <w:rsid w:val="00513206"/>
    <w:rsid w:val="00526641"/>
    <w:rsid w:val="00533171"/>
    <w:rsid w:val="005661EC"/>
    <w:rsid w:val="006313DE"/>
    <w:rsid w:val="0066308A"/>
    <w:rsid w:val="006846E1"/>
    <w:rsid w:val="0068771F"/>
    <w:rsid w:val="006C0DF6"/>
    <w:rsid w:val="006C54AB"/>
    <w:rsid w:val="00701868"/>
    <w:rsid w:val="0071634C"/>
    <w:rsid w:val="00784274"/>
    <w:rsid w:val="007A4EC3"/>
    <w:rsid w:val="007F6605"/>
    <w:rsid w:val="008301CC"/>
    <w:rsid w:val="00851E47"/>
    <w:rsid w:val="0087240B"/>
    <w:rsid w:val="00876783"/>
    <w:rsid w:val="008820AB"/>
    <w:rsid w:val="008A513E"/>
    <w:rsid w:val="00954640"/>
    <w:rsid w:val="00970421"/>
    <w:rsid w:val="0098697D"/>
    <w:rsid w:val="009E1645"/>
    <w:rsid w:val="00A34E8C"/>
    <w:rsid w:val="00A53D95"/>
    <w:rsid w:val="00A618C0"/>
    <w:rsid w:val="00A93E09"/>
    <w:rsid w:val="00AE1984"/>
    <w:rsid w:val="00B02807"/>
    <w:rsid w:val="00B12029"/>
    <w:rsid w:val="00B85423"/>
    <w:rsid w:val="00B96955"/>
    <w:rsid w:val="00BD3739"/>
    <w:rsid w:val="00BE22FC"/>
    <w:rsid w:val="00C442A5"/>
    <w:rsid w:val="00C56C02"/>
    <w:rsid w:val="00C90B15"/>
    <w:rsid w:val="00D64F2A"/>
    <w:rsid w:val="00D70E88"/>
    <w:rsid w:val="00D748D5"/>
    <w:rsid w:val="00D87215"/>
    <w:rsid w:val="00D87319"/>
    <w:rsid w:val="00DD1382"/>
    <w:rsid w:val="00E44441"/>
    <w:rsid w:val="00E911F6"/>
    <w:rsid w:val="00ED02DA"/>
    <w:rsid w:val="00ED69FB"/>
    <w:rsid w:val="00F67CBE"/>
    <w:rsid w:val="00F87971"/>
    <w:rsid w:val="00FD0EE7"/>
    <w:rsid w:val="00FE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1BA7EF56"/>
  <w15:docId w15:val="{7FB845D8-DD47-4393-B75D-BBA8BEF9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A5"/>
    <w:rPr>
      <w:rFonts w:ascii="Arial" w:hAnsi="Arial"/>
      <w:sz w:val="24"/>
      <w:szCs w:val="24"/>
      <w:lang w:eastAsia="en-US"/>
    </w:rPr>
  </w:style>
  <w:style w:type="paragraph" w:styleId="Heading2">
    <w:name w:val="heading 2"/>
    <w:basedOn w:val="Normal"/>
    <w:next w:val="Normal"/>
    <w:qFormat/>
    <w:rsid w:val="00C442A5"/>
    <w:pPr>
      <w:keepNext/>
      <w:spacing w:before="240" w:after="60"/>
      <w:outlineLvl w:val="1"/>
    </w:pPr>
    <w:rPr>
      <w:rFonts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442A5"/>
    <w:pPr>
      <w:spacing w:before="120" w:after="120"/>
      <w:ind w:left="1080"/>
    </w:pPr>
    <w:rPr>
      <w:rFonts w:cs="Arial"/>
      <w:lang w:eastAsia="en-GB"/>
    </w:rPr>
  </w:style>
  <w:style w:type="paragraph" w:styleId="BodyTextIndent">
    <w:name w:val="Body Text Indent"/>
    <w:basedOn w:val="Normal"/>
    <w:rsid w:val="00C442A5"/>
    <w:pPr>
      <w:spacing w:before="120" w:after="120"/>
      <w:ind w:left="720"/>
    </w:pPr>
    <w:rPr>
      <w:lang w:eastAsia="en-GB"/>
    </w:rPr>
  </w:style>
  <w:style w:type="paragraph" w:styleId="BodyTextIndent3">
    <w:name w:val="Body Text Indent 3"/>
    <w:basedOn w:val="Normal"/>
    <w:rsid w:val="00C442A5"/>
    <w:pPr>
      <w:tabs>
        <w:tab w:val="left" w:pos="360"/>
      </w:tabs>
      <w:spacing w:before="120" w:after="120"/>
      <w:ind w:left="360"/>
    </w:pPr>
    <w:rPr>
      <w:rFonts w:cs="Arial"/>
      <w:lang w:eastAsia="en-GB"/>
    </w:rPr>
  </w:style>
  <w:style w:type="paragraph" w:customStyle="1" w:styleId="ISEDbodytext">
    <w:name w:val="ISED body text"/>
    <w:basedOn w:val="BodyText"/>
    <w:rsid w:val="00C442A5"/>
    <w:pPr>
      <w:tabs>
        <w:tab w:val="left" w:pos="-284"/>
      </w:tabs>
    </w:pPr>
    <w:rPr>
      <w:color w:val="000000"/>
      <w:sz w:val="22"/>
      <w:szCs w:val="20"/>
    </w:rPr>
  </w:style>
  <w:style w:type="paragraph" w:styleId="BodyText">
    <w:name w:val="Body Text"/>
    <w:basedOn w:val="Normal"/>
    <w:rsid w:val="00C442A5"/>
    <w:pPr>
      <w:spacing w:after="120"/>
    </w:pPr>
  </w:style>
  <w:style w:type="character" w:styleId="Strong">
    <w:name w:val="Strong"/>
    <w:basedOn w:val="DefaultParagraphFont"/>
    <w:qFormat/>
    <w:rsid w:val="00C442A5"/>
    <w:rPr>
      <w:b/>
      <w:bCs/>
    </w:rPr>
  </w:style>
  <w:style w:type="paragraph" w:customStyle="1" w:styleId="SubHeading">
    <w:name w:val="SubHeading"/>
    <w:basedOn w:val="Normal"/>
    <w:rsid w:val="00C442A5"/>
    <w:pPr>
      <w:numPr>
        <w:numId w:val="1"/>
      </w:numPr>
      <w:spacing w:before="240" w:after="400"/>
    </w:pPr>
    <w:rPr>
      <w:rFonts w:ascii="Times New Roman" w:hAnsi="Times New Roman"/>
      <w:b/>
      <w:sz w:val="40"/>
      <w:szCs w:val="20"/>
      <w:lang w:eastAsia="en-GB"/>
    </w:rPr>
  </w:style>
  <w:style w:type="paragraph" w:styleId="BalloonText">
    <w:name w:val="Balloon Text"/>
    <w:basedOn w:val="Normal"/>
    <w:semiHidden/>
    <w:rsid w:val="00533171"/>
    <w:rPr>
      <w:rFonts w:ascii="Tahoma" w:hAnsi="Tahoma" w:cs="Tahoma"/>
      <w:sz w:val="16"/>
      <w:szCs w:val="16"/>
    </w:rPr>
  </w:style>
  <w:style w:type="paragraph" w:styleId="ListParagraph">
    <w:name w:val="List Paragraph"/>
    <w:basedOn w:val="Normal"/>
    <w:uiPriority w:val="34"/>
    <w:qFormat/>
    <w:rsid w:val="00266369"/>
    <w:pPr>
      <w:ind w:left="720"/>
      <w:contextualSpacing/>
    </w:pPr>
  </w:style>
  <w:style w:type="paragraph" w:customStyle="1" w:styleId="Default">
    <w:name w:val="Default"/>
    <w:rsid w:val="0026636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341559"/>
    <w:rPr>
      <w:sz w:val="16"/>
      <w:szCs w:val="16"/>
    </w:rPr>
  </w:style>
  <w:style w:type="paragraph" w:styleId="CommentText">
    <w:name w:val="annotation text"/>
    <w:basedOn w:val="Normal"/>
    <w:link w:val="CommentTextChar"/>
    <w:rsid w:val="00341559"/>
    <w:rPr>
      <w:sz w:val="20"/>
      <w:szCs w:val="20"/>
    </w:rPr>
  </w:style>
  <w:style w:type="character" w:customStyle="1" w:styleId="CommentTextChar">
    <w:name w:val="Comment Text Char"/>
    <w:basedOn w:val="DefaultParagraphFont"/>
    <w:link w:val="CommentText"/>
    <w:rsid w:val="00341559"/>
    <w:rPr>
      <w:rFonts w:ascii="Arial" w:hAnsi="Arial"/>
      <w:lang w:eastAsia="en-US"/>
    </w:rPr>
  </w:style>
  <w:style w:type="paragraph" w:styleId="CommentSubject">
    <w:name w:val="annotation subject"/>
    <w:basedOn w:val="CommentText"/>
    <w:next w:val="CommentText"/>
    <w:link w:val="CommentSubjectChar"/>
    <w:rsid w:val="00341559"/>
    <w:rPr>
      <w:b/>
      <w:bCs/>
    </w:rPr>
  </w:style>
  <w:style w:type="character" w:customStyle="1" w:styleId="CommentSubjectChar">
    <w:name w:val="Comment Subject Char"/>
    <w:basedOn w:val="CommentTextChar"/>
    <w:link w:val="CommentSubject"/>
    <w:rsid w:val="00341559"/>
    <w:rPr>
      <w:rFonts w:ascii="Arial" w:hAnsi="Arial"/>
      <w:b/>
      <w:bCs/>
      <w:lang w:eastAsia="en-US"/>
    </w:rPr>
  </w:style>
  <w:style w:type="paragraph" w:styleId="Header">
    <w:name w:val="header"/>
    <w:basedOn w:val="Normal"/>
    <w:link w:val="HeaderChar"/>
    <w:rsid w:val="006846E1"/>
    <w:pPr>
      <w:tabs>
        <w:tab w:val="center" w:pos="4513"/>
        <w:tab w:val="right" w:pos="9026"/>
      </w:tabs>
    </w:pPr>
  </w:style>
  <w:style w:type="character" w:customStyle="1" w:styleId="HeaderChar">
    <w:name w:val="Header Char"/>
    <w:basedOn w:val="DefaultParagraphFont"/>
    <w:link w:val="Header"/>
    <w:rsid w:val="006846E1"/>
    <w:rPr>
      <w:rFonts w:ascii="Arial" w:hAnsi="Arial"/>
      <w:sz w:val="24"/>
      <w:szCs w:val="24"/>
      <w:lang w:eastAsia="en-US"/>
    </w:rPr>
  </w:style>
  <w:style w:type="paragraph" w:styleId="Footer">
    <w:name w:val="footer"/>
    <w:basedOn w:val="Normal"/>
    <w:link w:val="FooterChar"/>
    <w:rsid w:val="006846E1"/>
    <w:pPr>
      <w:tabs>
        <w:tab w:val="center" w:pos="4513"/>
        <w:tab w:val="right" w:pos="9026"/>
      </w:tabs>
    </w:pPr>
  </w:style>
  <w:style w:type="character" w:customStyle="1" w:styleId="FooterChar">
    <w:name w:val="Footer Char"/>
    <w:basedOn w:val="DefaultParagraphFont"/>
    <w:link w:val="Footer"/>
    <w:rsid w:val="006846E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Park Lane College</vt:lpstr>
    </vt:vector>
  </TitlesOfParts>
  <Company>Hewlett-Packard Company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Lane College</dc:title>
  <dc:creator>user</dc:creator>
  <cp:lastModifiedBy>Sarah Wilson</cp:lastModifiedBy>
  <cp:revision>2</cp:revision>
  <cp:lastPrinted>2008-01-08T10:57:00Z</cp:lastPrinted>
  <dcterms:created xsi:type="dcterms:W3CDTF">2019-08-23T09:45:00Z</dcterms:created>
  <dcterms:modified xsi:type="dcterms:W3CDTF">2019-08-23T09:45:00Z</dcterms:modified>
</cp:coreProperties>
</file>